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76" w:rsidRDefault="00D05E76" w:rsidP="00064B63">
      <w:pPr>
        <w:jc w:val="center"/>
      </w:pPr>
      <w:r>
        <w:rPr>
          <w:rFonts w:ascii="仿宋" w:eastAsia="仿宋" w:hAnsi="仿宋" w:hint="eastAsia"/>
          <w:sz w:val="44"/>
          <w:szCs w:val="44"/>
        </w:rPr>
        <w:t>黄山风景区</w:t>
      </w:r>
      <w:r w:rsidRPr="00C84806">
        <w:rPr>
          <w:rFonts w:ascii="仿宋" w:eastAsia="仿宋" w:hAnsi="仿宋" w:hint="eastAsia"/>
          <w:sz w:val="44"/>
          <w:szCs w:val="44"/>
        </w:rPr>
        <w:t>管委会汤泉办公区及逍遥亭生活区安装汽车充电桩项目</w:t>
      </w:r>
    </w:p>
    <w:p w:rsidR="00D05E76" w:rsidRPr="00064B63" w:rsidRDefault="00D05E76" w:rsidP="00064B63">
      <w:pPr>
        <w:pStyle w:val="a6"/>
        <w:numPr>
          <w:ilvl w:val="0"/>
          <w:numId w:val="2"/>
        </w:numPr>
        <w:ind w:firstLineChars="0"/>
        <w:rPr>
          <w:rFonts w:ascii="仿宋" w:eastAsia="仿宋" w:hAnsi="仿宋" w:cs="宋体"/>
          <w:sz w:val="32"/>
          <w:szCs w:val="32"/>
        </w:rPr>
      </w:pPr>
      <w:r w:rsidRPr="00064B63">
        <w:rPr>
          <w:rFonts w:ascii="仿宋" w:eastAsia="仿宋" w:hAnsi="仿宋" w:cs="宋体"/>
          <w:sz w:val="32"/>
          <w:szCs w:val="32"/>
        </w:rPr>
        <w:t>项目</w:t>
      </w:r>
      <w:r w:rsidR="00064B63" w:rsidRPr="00064B63">
        <w:rPr>
          <w:rFonts w:ascii="仿宋" w:eastAsia="仿宋" w:hAnsi="仿宋" w:cs="宋体"/>
          <w:sz w:val="32"/>
          <w:szCs w:val="32"/>
        </w:rPr>
        <w:t>需求</w:t>
      </w:r>
    </w:p>
    <w:p w:rsidR="00064B63" w:rsidRPr="00064B63" w:rsidRDefault="00064B63" w:rsidP="00064B63">
      <w:pPr>
        <w:ind w:left="640"/>
        <w:rPr>
          <w:rFonts w:ascii="仿宋" w:eastAsia="仿宋" w:hAnsi="仿宋" w:cs="宋体"/>
          <w:sz w:val="32"/>
          <w:szCs w:val="32"/>
        </w:rPr>
      </w:pPr>
      <w:r w:rsidRPr="00064B63">
        <w:rPr>
          <w:rFonts w:ascii="仿宋" w:eastAsia="仿宋" w:hAnsi="仿宋" w:cs="宋体" w:hint="eastAsia"/>
          <w:sz w:val="32"/>
          <w:szCs w:val="32"/>
        </w:rPr>
        <w:t>（一）</w:t>
      </w:r>
      <w:r>
        <w:rPr>
          <w:rFonts w:ascii="仿宋" w:eastAsia="仿宋" w:hAnsi="仿宋" w:cs="宋体" w:hint="eastAsia"/>
          <w:sz w:val="32"/>
          <w:szCs w:val="32"/>
        </w:rPr>
        <w:t>项目概况</w:t>
      </w:r>
    </w:p>
    <w:p w:rsidR="00064B63" w:rsidRDefault="00D05E76" w:rsidP="00064B63">
      <w:pPr>
        <w:spacing w:line="600" w:lineRule="exact"/>
        <w:ind w:firstLineChars="200" w:firstLine="640"/>
        <w:rPr>
          <w:rFonts w:ascii="仿宋" w:eastAsia="仿宋" w:hAnsi="仿宋" w:cs="宋体"/>
          <w:sz w:val="32"/>
          <w:szCs w:val="32"/>
        </w:rPr>
      </w:pPr>
      <w:r w:rsidRPr="00D05E76">
        <w:rPr>
          <w:rFonts w:ascii="仿宋" w:eastAsia="仿宋" w:hAnsi="仿宋" w:cs="宋体"/>
          <w:sz w:val="32"/>
          <w:szCs w:val="32"/>
        </w:rPr>
        <w:t>为持续深化“一改两为”暨“暖民心”行动，随着出行工具的进一步改善提升景区干部职工出行条件,切实提高干部职工的幸福感，解决公车及干部职工电车充电问题，拟在汤泉办公区及逍遥亭生活区安装汽车充电桩</w:t>
      </w:r>
      <w:r w:rsidR="00064B63">
        <w:rPr>
          <w:rFonts w:ascii="仿宋" w:eastAsia="仿宋" w:hAnsi="仿宋" w:cs="宋体"/>
          <w:sz w:val="32"/>
          <w:szCs w:val="32"/>
        </w:rPr>
        <w:t>。</w:t>
      </w:r>
    </w:p>
    <w:p w:rsidR="00064B63" w:rsidRDefault="00064B63" w:rsidP="00064B63">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1、</w:t>
      </w:r>
      <w:r w:rsidR="00D05E76" w:rsidRPr="00D05E76">
        <w:rPr>
          <w:rFonts w:ascii="仿宋" w:eastAsia="仿宋" w:hAnsi="仿宋" w:cs="宋体" w:hint="eastAsia"/>
          <w:sz w:val="32"/>
          <w:szCs w:val="32"/>
        </w:rPr>
        <w:t>汤泉办公区龙凤苑停车场拟安装8个充电桩，其中2套40kW直流充电桩、含立柱，6套7kW交流征程充电桩、含立柱，从文化楼配电房取电源，考虑日后电车充电桩增加，采用YJV 4*95+1*70为主电缆，套镀锌钢管，挡土墙处钢管仿石处理，增设加厚560*150*100mm橡胶车挡器，配备5KG干粉灭火器灭火器，含箱子，含安全提示贴纸等。</w:t>
      </w:r>
    </w:p>
    <w:p w:rsidR="000D776A" w:rsidRDefault="00064B63" w:rsidP="000D776A">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2、</w:t>
      </w:r>
      <w:r w:rsidR="00D05E76" w:rsidRPr="00D05E76">
        <w:rPr>
          <w:rFonts w:ascii="仿宋" w:eastAsia="仿宋" w:hAnsi="仿宋" w:cs="宋体" w:hint="eastAsia"/>
          <w:sz w:val="32"/>
          <w:szCs w:val="32"/>
        </w:rPr>
        <w:t>逍遥亭生活区原职工食堂门口，安装3套7kW交流征程充电桩，从原职工食堂主进线上桩头取电源，考虑日后电车充电桩增加，采用YJV 5*16为主电缆，YJV 3*6为分电缆，套镀锌钢管，增设加厚560*150*100mm橡胶车挡器，配备5KG干粉灭火器灭火器，含箱子，含安全提示贴纸等。</w:t>
      </w:r>
    </w:p>
    <w:p w:rsidR="000D776A" w:rsidRDefault="000D776A" w:rsidP="000D776A">
      <w:pPr>
        <w:spacing w:line="600" w:lineRule="exact"/>
        <w:ind w:firstLineChars="200" w:firstLine="640"/>
        <w:rPr>
          <w:rFonts w:ascii="仿宋" w:eastAsia="仿宋" w:hAnsi="仿宋" w:cs="宋体"/>
          <w:sz w:val="32"/>
          <w:szCs w:val="32"/>
        </w:rPr>
      </w:pPr>
      <w:r w:rsidRPr="00064B63">
        <w:rPr>
          <w:rFonts w:ascii="仿宋" w:eastAsia="仿宋" w:hAnsi="仿宋" w:cs="宋体" w:hint="eastAsia"/>
          <w:sz w:val="32"/>
          <w:szCs w:val="32"/>
        </w:rPr>
        <w:t>（</w:t>
      </w:r>
      <w:r>
        <w:rPr>
          <w:rFonts w:ascii="仿宋" w:eastAsia="仿宋" w:hAnsi="仿宋" w:cs="宋体" w:hint="eastAsia"/>
          <w:sz w:val="32"/>
          <w:szCs w:val="32"/>
        </w:rPr>
        <w:t>二</w:t>
      </w:r>
      <w:r w:rsidRPr="00064B63">
        <w:rPr>
          <w:rFonts w:ascii="仿宋" w:eastAsia="仿宋" w:hAnsi="仿宋" w:cs="宋体" w:hint="eastAsia"/>
          <w:sz w:val="32"/>
          <w:szCs w:val="32"/>
        </w:rPr>
        <w:t>）</w:t>
      </w:r>
      <w:r w:rsidR="00064B63" w:rsidRPr="009D31BC">
        <w:rPr>
          <w:rFonts w:ascii="仿宋" w:eastAsia="仿宋" w:hAnsi="仿宋" w:cs="宋体" w:hint="eastAsia"/>
          <w:sz w:val="32"/>
          <w:szCs w:val="32"/>
        </w:rPr>
        <w:t>项目预算</w:t>
      </w:r>
      <w:r w:rsidR="00064B63" w:rsidRPr="009D31BC">
        <w:rPr>
          <w:rFonts w:ascii="仿宋" w:eastAsia="仿宋" w:hAnsi="仿宋" w:cs="宋体"/>
          <w:sz w:val="32"/>
          <w:szCs w:val="32"/>
        </w:rPr>
        <w:t>：</w:t>
      </w:r>
      <w:r w:rsidRPr="009D31BC">
        <w:rPr>
          <w:rFonts w:ascii="仿宋" w:eastAsia="仿宋" w:hAnsi="仿宋" w:cs="宋体" w:hint="eastAsia"/>
          <w:sz w:val="32"/>
          <w:szCs w:val="32"/>
        </w:rPr>
        <w:t>15.3万元。</w:t>
      </w:r>
    </w:p>
    <w:p w:rsidR="000D776A" w:rsidRPr="000D776A" w:rsidRDefault="000D776A" w:rsidP="000D776A">
      <w:pPr>
        <w:spacing w:line="600" w:lineRule="exact"/>
        <w:ind w:firstLineChars="200" w:firstLine="640"/>
        <w:rPr>
          <w:rFonts w:ascii="仿宋" w:eastAsia="仿宋" w:hAnsi="仿宋" w:cs="宋体"/>
          <w:sz w:val="32"/>
          <w:szCs w:val="32"/>
        </w:rPr>
      </w:pPr>
      <w:r w:rsidRPr="00064B63">
        <w:rPr>
          <w:rFonts w:ascii="仿宋" w:eastAsia="仿宋" w:hAnsi="仿宋" w:cs="宋体" w:hint="eastAsia"/>
          <w:sz w:val="32"/>
          <w:szCs w:val="32"/>
        </w:rPr>
        <w:t>（</w:t>
      </w:r>
      <w:r>
        <w:rPr>
          <w:rFonts w:ascii="仿宋" w:eastAsia="仿宋" w:hAnsi="仿宋" w:cs="宋体" w:hint="eastAsia"/>
          <w:sz w:val="32"/>
          <w:szCs w:val="32"/>
        </w:rPr>
        <w:t>三</w:t>
      </w:r>
      <w:r w:rsidRPr="00064B63">
        <w:rPr>
          <w:rFonts w:ascii="仿宋" w:eastAsia="仿宋" w:hAnsi="仿宋" w:cs="宋体" w:hint="eastAsia"/>
          <w:sz w:val="32"/>
          <w:szCs w:val="32"/>
        </w:rPr>
        <w:t>）</w:t>
      </w:r>
      <w:r w:rsidR="00064B63" w:rsidRPr="009D31BC">
        <w:rPr>
          <w:rFonts w:ascii="仿宋" w:eastAsia="仿宋" w:hAnsi="仿宋" w:cs="宋体"/>
          <w:sz w:val="32"/>
          <w:szCs w:val="32"/>
        </w:rPr>
        <w:t>付款方式：</w:t>
      </w:r>
      <w:r w:rsidR="009D31BC" w:rsidRPr="009D31BC">
        <w:rPr>
          <w:rFonts w:ascii="仿宋" w:eastAsia="仿宋" w:hAnsi="仿宋" w:cs="宋体"/>
          <w:sz w:val="32"/>
          <w:szCs w:val="32"/>
        </w:rPr>
        <w:t>合同签订后支付合同总价款的</w:t>
      </w:r>
      <w:r w:rsidR="009D31BC">
        <w:rPr>
          <w:rFonts w:ascii="仿宋" w:eastAsia="仿宋" w:hAnsi="仿宋" w:cs="宋体" w:hint="eastAsia"/>
          <w:sz w:val="32"/>
          <w:szCs w:val="32"/>
        </w:rPr>
        <w:t>70</w:t>
      </w:r>
      <w:r w:rsidR="009D31BC" w:rsidRPr="009D31BC">
        <w:rPr>
          <w:rFonts w:ascii="仿宋" w:eastAsia="仿宋" w:hAnsi="仿宋" w:cs="宋体" w:hint="eastAsia"/>
          <w:sz w:val="32"/>
          <w:szCs w:val="32"/>
        </w:rPr>
        <w:t>%，</w:t>
      </w:r>
      <w:r w:rsidR="009D31BC" w:rsidRPr="009D31BC">
        <w:rPr>
          <w:rFonts w:ascii="仿宋" w:eastAsia="仿宋" w:hAnsi="仿宋" w:cs="宋体"/>
          <w:sz w:val="32"/>
          <w:szCs w:val="32"/>
        </w:rPr>
        <w:t>货到安装验收合格后支付尾款</w:t>
      </w:r>
      <w:r w:rsidR="009D31BC">
        <w:rPr>
          <w:rFonts w:ascii="仿宋" w:eastAsia="仿宋" w:hAnsi="仿宋" w:cs="宋体" w:hint="eastAsia"/>
          <w:sz w:val="32"/>
          <w:szCs w:val="32"/>
        </w:rPr>
        <w:t>30</w:t>
      </w:r>
      <w:r w:rsidR="009D31BC" w:rsidRPr="009D31BC">
        <w:rPr>
          <w:rFonts w:ascii="仿宋" w:eastAsia="仿宋" w:hAnsi="仿宋" w:cs="宋体" w:hint="eastAsia"/>
          <w:sz w:val="32"/>
          <w:szCs w:val="32"/>
        </w:rPr>
        <w:t>%。</w:t>
      </w:r>
    </w:p>
    <w:p w:rsidR="00D05E76" w:rsidRPr="009D31BC" w:rsidRDefault="000D776A" w:rsidP="000D776A">
      <w:pPr>
        <w:ind w:firstLineChars="200" w:firstLine="640"/>
        <w:rPr>
          <w:rFonts w:ascii="仿宋" w:eastAsia="仿宋" w:hAnsi="仿宋" w:cs="宋体"/>
          <w:sz w:val="32"/>
          <w:szCs w:val="32"/>
        </w:rPr>
      </w:pPr>
      <w:r w:rsidRPr="00064B63">
        <w:rPr>
          <w:rFonts w:ascii="仿宋" w:eastAsia="仿宋" w:hAnsi="仿宋" w:cs="宋体" w:hint="eastAsia"/>
          <w:sz w:val="32"/>
          <w:szCs w:val="32"/>
        </w:rPr>
        <w:t>（</w:t>
      </w:r>
      <w:r>
        <w:rPr>
          <w:rFonts w:ascii="仿宋" w:eastAsia="仿宋" w:hAnsi="仿宋" w:cs="宋体" w:hint="eastAsia"/>
          <w:sz w:val="32"/>
          <w:szCs w:val="32"/>
        </w:rPr>
        <w:t>四</w:t>
      </w:r>
      <w:r w:rsidRPr="00064B63">
        <w:rPr>
          <w:rFonts w:ascii="仿宋" w:eastAsia="仿宋" w:hAnsi="仿宋" w:cs="宋体" w:hint="eastAsia"/>
          <w:sz w:val="32"/>
          <w:szCs w:val="32"/>
        </w:rPr>
        <w:t>）</w:t>
      </w:r>
      <w:r w:rsidR="00D05E76" w:rsidRPr="009D31BC">
        <w:rPr>
          <w:rFonts w:ascii="仿宋" w:eastAsia="仿宋" w:hAnsi="仿宋" w:cs="宋体" w:hint="eastAsia"/>
          <w:sz w:val="32"/>
          <w:szCs w:val="32"/>
        </w:rPr>
        <w:t>质保</w:t>
      </w:r>
      <w:r w:rsidR="00D05E76" w:rsidRPr="009D31BC">
        <w:rPr>
          <w:rFonts w:ascii="仿宋" w:eastAsia="仿宋" w:hAnsi="仿宋" w:cs="宋体"/>
          <w:sz w:val="32"/>
          <w:szCs w:val="32"/>
        </w:rPr>
        <w:t>期限</w:t>
      </w:r>
      <w:r w:rsidR="005C5330" w:rsidRPr="009D31BC">
        <w:rPr>
          <w:rFonts w:ascii="仿宋" w:eastAsia="仿宋" w:hAnsi="仿宋" w:cs="宋体"/>
          <w:sz w:val="32"/>
          <w:szCs w:val="32"/>
        </w:rPr>
        <w:t>：</w:t>
      </w:r>
      <w:r w:rsidR="009D31BC" w:rsidRPr="009D31BC">
        <w:rPr>
          <w:rFonts w:ascii="仿宋" w:eastAsia="仿宋" w:hAnsi="仿宋" w:cs="宋体"/>
          <w:sz w:val="32"/>
          <w:szCs w:val="32"/>
        </w:rPr>
        <w:t>验收合格后</w:t>
      </w:r>
      <w:r w:rsidR="009D31BC" w:rsidRPr="009D31BC">
        <w:rPr>
          <w:rFonts w:ascii="仿宋" w:eastAsia="仿宋" w:hAnsi="仿宋" w:cs="宋体" w:hint="eastAsia"/>
          <w:sz w:val="32"/>
          <w:szCs w:val="32"/>
        </w:rPr>
        <w:t>3年。</w:t>
      </w:r>
    </w:p>
    <w:p w:rsidR="00064B63" w:rsidRPr="00064B63" w:rsidRDefault="00064B63" w:rsidP="00064B63">
      <w:pPr>
        <w:pStyle w:val="1"/>
        <w:spacing w:before="0" w:after="0"/>
        <w:ind w:firstLineChars="200" w:firstLine="482"/>
        <w:jc w:val="left"/>
        <w:rPr>
          <w:rFonts w:ascii="宋体" w:hAnsi="宋体" w:cs="宋体"/>
          <w:kern w:val="0"/>
          <w:sz w:val="24"/>
          <w:szCs w:val="24"/>
        </w:rPr>
      </w:pPr>
      <w:bookmarkStart w:id="0" w:name="_Toc756"/>
      <w:r>
        <w:rPr>
          <w:rFonts w:ascii="宋体" w:hAnsi="宋体" w:cs="宋体" w:hint="eastAsia"/>
          <w:sz w:val="24"/>
          <w:szCs w:val="24"/>
        </w:rPr>
        <w:lastRenderedPageBreak/>
        <w:t>二、</w:t>
      </w:r>
      <w:r w:rsidRPr="00064B63">
        <w:rPr>
          <w:rFonts w:ascii="宋体" w:hAnsi="宋体" w:cs="宋体" w:hint="eastAsia"/>
          <w:b w:val="0"/>
          <w:bCs w:val="0"/>
          <w:sz w:val="24"/>
          <w:szCs w:val="24"/>
        </w:rPr>
        <w:t>评标办法（综合</w:t>
      </w:r>
      <w:r>
        <w:rPr>
          <w:rFonts w:ascii="宋体" w:hAnsi="宋体" w:cs="宋体" w:hint="eastAsia"/>
          <w:b w:val="0"/>
          <w:bCs w:val="0"/>
          <w:sz w:val="24"/>
          <w:szCs w:val="24"/>
        </w:rPr>
        <w:t>评分</w:t>
      </w:r>
      <w:r w:rsidRPr="00064B63">
        <w:rPr>
          <w:rFonts w:ascii="宋体" w:hAnsi="宋体" w:cs="宋体" w:hint="eastAsia"/>
          <w:b w:val="0"/>
          <w:bCs w:val="0"/>
          <w:sz w:val="24"/>
          <w:szCs w:val="24"/>
        </w:rPr>
        <w:t>法）</w:t>
      </w:r>
    </w:p>
    <w:tbl>
      <w:tblPr>
        <w:tblW w:w="9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
        <w:gridCol w:w="1133"/>
        <w:gridCol w:w="1341"/>
        <w:gridCol w:w="6077"/>
      </w:tblGrid>
      <w:tr w:rsidR="00064B63" w:rsidRPr="00064B63" w:rsidTr="00667E3E">
        <w:trPr>
          <w:trHeight w:val="454"/>
        </w:trPr>
        <w:tc>
          <w:tcPr>
            <w:tcW w:w="1884" w:type="dxa"/>
            <w:gridSpan w:val="2"/>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条款号</w:t>
            </w: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评审因素</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评审标准</w:t>
            </w:r>
          </w:p>
        </w:tc>
      </w:tr>
      <w:tr w:rsidR="00064B63" w:rsidRPr="00064B63" w:rsidTr="00667E3E">
        <w:trPr>
          <w:trHeight w:val="541"/>
        </w:trPr>
        <w:tc>
          <w:tcPr>
            <w:tcW w:w="751" w:type="dxa"/>
            <w:vMerge w:val="restart"/>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1.1</w:t>
            </w:r>
          </w:p>
        </w:tc>
        <w:tc>
          <w:tcPr>
            <w:tcW w:w="1133" w:type="dxa"/>
            <w:vMerge w:val="restart"/>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资格评审标  准</w:t>
            </w: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营业执照</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投标人须具有独立法人资格，且持有有效的营业执照、组织机构代码证、税务登记证（或提供统一社会信用代码三证合一的营业执照）</w:t>
            </w:r>
          </w:p>
        </w:tc>
      </w:tr>
      <w:tr w:rsidR="00064B63" w:rsidRPr="00064B63" w:rsidTr="00667E3E">
        <w:trPr>
          <w:trHeight w:val="1302"/>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资质要求</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投标人须具备中华人民共和国住房和城乡建设部颁发的电力工程施工总承包叁级及以上资质，同时具备国家电力监管委员会颁发的《承装（修、试）电力设施许可证》承装四级及以上、承修四级及以上、承试四级及以上资质，具备有效的安全生产许可证，并在人员、设备、资金等方面具有相应的施工能力</w:t>
            </w:r>
          </w:p>
        </w:tc>
      </w:tr>
      <w:tr w:rsidR="00064B63" w:rsidRPr="00064B63" w:rsidTr="00667E3E">
        <w:trPr>
          <w:trHeight w:val="454"/>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项目经理</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无</w:t>
            </w:r>
          </w:p>
        </w:tc>
      </w:tr>
      <w:tr w:rsidR="00064B63" w:rsidRPr="00064B63" w:rsidTr="00667E3E">
        <w:trPr>
          <w:trHeight w:val="90"/>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财务状况</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投标人应具有良好的商业信誉和健全的财务会计制度（提供2020年度的财务审计报告，新注册公司以注册时间为准）</w:t>
            </w:r>
          </w:p>
        </w:tc>
      </w:tr>
      <w:tr w:rsidR="00064B63" w:rsidRPr="00064B63" w:rsidTr="00667E3E">
        <w:trPr>
          <w:trHeight w:val="90"/>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社保和缴税证明</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有依法缴纳税收和社保的良好记录（提供2021年1月至今任意3个月依法缴纳税收和社保的证明材料）</w:t>
            </w:r>
          </w:p>
        </w:tc>
      </w:tr>
      <w:tr w:rsidR="00064B63" w:rsidRPr="00064B63" w:rsidTr="00667E3E">
        <w:trPr>
          <w:trHeight w:val="233"/>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书面声明函</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投标人近三年没有因安全事故、质量事故、违规投标等不良记录和行为而被限制投标的情况且在处罚期内（投标人须提供承诺书，成立不足三年的自成立之日起算）</w:t>
            </w:r>
          </w:p>
        </w:tc>
      </w:tr>
      <w:tr w:rsidR="00064B63" w:rsidRPr="00064B63" w:rsidTr="00667E3E">
        <w:trPr>
          <w:trHeight w:val="165"/>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信用查询</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投标人须提供“信用中国”网站的“失信被执行人”和“重大税收违法案件当事人名单”、“中国政府采购网”网站的“政府招标严重违法失信行为记录名单”查询结果页面截图，若有不良记录，报名无效（执行财库【2016】125号文）</w:t>
            </w:r>
          </w:p>
        </w:tc>
      </w:tr>
      <w:tr w:rsidR="00064B63" w:rsidRPr="00064B63" w:rsidTr="00667E3E">
        <w:trPr>
          <w:trHeight w:val="454"/>
        </w:trPr>
        <w:tc>
          <w:tcPr>
            <w:tcW w:w="751" w:type="dxa"/>
            <w:vMerge w:val="restart"/>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1.2</w:t>
            </w:r>
          </w:p>
        </w:tc>
        <w:tc>
          <w:tcPr>
            <w:tcW w:w="1133" w:type="dxa"/>
            <w:vMerge w:val="restart"/>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符 合 性</w:t>
            </w:r>
          </w:p>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评审标准</w:t>
            </w: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投标人名称</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与营业执照一致</w:t>
            </w:r>
          </w:p>
        </w:tc>
      </w:tr>
      <w:tr w:rsidR="00064B63" w:rsidRPr="00064B63" w:rsidTr="00667E3E">
        <w:trPr>
          <w:trHeight w:val="454"/>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响应文件签字盖章</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规定签字盖章处签字盖章</w:t>
            </w:r>
          </w:p>
        </w:tc>
      </w:tr>
      <w:tr w:rsidR="00064B63" w:rsidRPr="00064B63" w:rsidTr="00667E3E">
        <w:trPr>
          <w:trHeight w:val="454"/>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响应文件格式</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符合</w:t>
            </w:r>
            <w:r>
              <w:rPr>
                <w:rFonts w:ascii="宋体" w:eastAsia="宋体" w:hAnsi="宋体" w:cs="宋体" w:hint="eastAsia"/>
                <w:szCs w:val="21"/>
              </w:rPr>
              <w:t>采购公告“</w:t>
            </w:r>
            <w:r w:rsidRPr="00064B63">
              <w:rPr>
                <w:rFonts w:ascii="宋体" w:eastAsia="宋体" w:hAnsi="宋体" w:cs="宋体" w:hint="eastAsia"/>
                <w:szCs w:val="21"/>
              </w:rPr>
              <w:t>采购项目采购响应文件</w:t>
            </w:r>
            <w:r>
              <w:rPr>
                <w:rFonts w:ascii="宋体" w:eastAsia="宋体" w:hAnsi="宋体" w:cs="宋体" w:hint="eastAsia"/>
                <w:szCs w:val="21"/>
              </w:rPr>
              <w:t>”</w:t>
            </w:r>
            <w:r w:rsidRPr="00064B63">
              <w:rPr>
                <w:rFonts w:ascii="宋体" w:eastAsia="宋体" w:hAnsi="宋体" w:cs="宋体" w:hint="eastAsia"/>
                <w:szCs w:val="21"/>
              </w:rPr>
              <w:t>的要求</w:t>
            </w:r>
          </w:p>
        </w:tc>
      </w:tr>
      <w:tr w:rsidR="00064B63" w:rsidRPr="00064B63" w:rsidTr="00667E3E">
        <w:trPr>
          <w:trHeight w:val="454"/>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投标内容</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图纸和清单的全部内容</w:t>
            </w:r>
          </w:p>
        </w:tc>
      </w:tr>
      <w:tr w:rsidR="00064B63" w:rsidRPr="00064B63" w:rsidTr="00667E3E">
        <w:trPr>
          <w:trHeight w:val="412"/>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计划工期</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合同签订后25</w:t>
            </w:r>
            <w:proofErr w:type="gramStart"/>
            <w:r w:rsidRPr="00064B63">
              <w:rPr>
                <w:rFonts w:ascii="宋体" w:eastAsia="宋体" w:hAnsi="宋体" w:cs="宋体" w:hint="eastAsia"/>
                <w:szCs w:val="21"/>
              </w:rPr>
              <w:t>日历天</w:t>
            </w:r>
            <w:proofErr w:type="gramEnd"/>
          </w:p>
        </w:tc>
      </w:tr>
      <w:tr w:rsidR="00064B63" w:rsidRPr="00064B63" w:rsidTr="00667E3E">
        <w:trPr>
          <w:trHeight w:val="90"/>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质量要求</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合格</w:t>
            </w:r>
          </w:p>
        </w:tc>
      </w:tr>
      <w:tr w:rsidR="00064B63" w:rsidRPr="00064B63" w:rsidTr="00667E3E">
        <w:tc>
          <w:tcPr>
            <w:tcW w:w="751" w:type="dxa"/>
            <w:vAlign w:val="center"/>
          </w:tcPr>
          <w:p w:rsidR="00064B63" w:rsidRPr="00064B63" w:rsidRDefault="00064B63" w:rsidP="00064B63">
            <w:pPr>
              <w:adjustRightInd w:val="0"/>
              <w:snapToGrid w:val="0"/>
              <w:jc w:val="center"/>
              <w:rPr>
                <w:rFonts w:ascii="宋体" w:eastAsia="宋体" w:hAnsi="宋体" w:cs="宋体"/>
                <w:b/>
                <w:color w:val="000000"/>
                <w:szCs w:val="21"/>
              </w:rPr>
            </w:pPr>
            <w:r w:rsidRPr="00064B63">
              <w:rPr>
                <w:rFonts w:ascii="宋体" w:eastAsia="宋体" w:hAnsi="宋体" w:cs="宋体" w:hint="eastAsia"/>
                <w:b/>
                <w:color w:val="000000"/>
                <w:szCs w:val="21"/>
              </w:rPr>
              <w:t>评审</w:t>
            </w:r>
          </w:p>
          <w:p w:rsidR="00064B63" w:rsidRPr="00064B63" w:rsidRDefault="00064B63" w:rsidP="00064B63">
            <w:pPr>
              <w:adjustRightInd w:val="0"/>
              <w:snapToGrid w:val="0"/>
              <w:jc w:val="center"/>
              <w:rPr>
                <w:rFonts w:ascii="宋体" w:eastAsia="宋体" w:hAnsi="宋体" w:cs="宋体"/>
                <w:b/>
                <w:color w:val="000000"/>
                <w:szCs w:val="21"/>
              </w:rPr>
            </w:pPr>
            <w:r w:rsidRPr="00064B63">
              <w:rPr>
                <w:rFonts w:ascii="宋体" w:eastAsia="宋体" w:hAnsi="宋体" w:cs="宋体" w:hint="eastAsia"/>
                <w:b/>
                <w:color w:val="000000"/>
                <w:szCs w:val="21"/>
              </w:rPr>
              <w:t>内容</w:t>
            </w:r>
          </w:p>
        </w:tc>
        <w:tc>
          <w:tcPr>
            <w:tcW w:w="1133" w:type="dxa"/>
            <w:vAlign w:val="center"/>
          </w:tcPr>
          <w:p w:rsidR="00064B63" w:rsidRPr="00064B63" w:rsidRDefault="00064B63" w:rsidP="00064B63">
            <w:pPr>
              <w:widowControl/>
              <w:adjustRightInd w:val="0"/>
              <w:snapToGrid w:val="0"/>
              <w:jc w:val="center"/>
              <w:rPr>
                <w:rFonts w:ascii="宋体" w:eastAsia="宋体" w:hAnsi="宋体" w:cs="宋体"/>
                <w:b/>
                <w:color w:val="000000"/>
                <w:szCs w:val="21"/>
              </w:rPr>
            </w:pPr>
            <w:r w:rsidRPr="00064B63">
              <w:rPr>
                <w:rFonts w:ascii="宋体" w:eastAsia="宋体" w:hAnsi="宋体" w:cs="宋体" w:hint="eastAsia"/>
                <w:b/>
                <w:color w:val="000000"/>
                <w:szCs w:val="21"/>
              </w:rPr>
              <w:t>评审因素</w:t>
            </w:r>
          </w:p>
        </w:tc>
        <w:tc>
          <w:tcPr>
            <w:tcW w:w="7418" w:type="dxa"/>
            <w:gridSpan w:val="2"/>
            <w:vAlign w:val="center"/>
          </w:tcPr>
          <w:p w:rsidR="00064B63" w:rsidRPr="00064B63" w:rsidRDefault="00064B63" w:rsidP="00064B63">
            <w:pPr>
              <w:widowControl/>
              <w:adjustRightInd w:val="0"/>
              <w:snapToGrid w:val="0"/>
              <w:jc w:val="center"/>
              <w:rPr>
                <w:rFonts w:ascii="宋体" w:eastAsia="宋体" w:hAnsi="宋体" w:cs="宋体"/>
                <w:b/>
                <w:color w:val="000000"/>
                <w:szCs w:val="21"/>
              </w:rPr>
            </w:pPr>
            <w:r w:rsidRPr="00064B63">
              <w:rPr>
                <w:rFonts w:ascii="宋体" w:eastAsia="宋体" w:hAnsi="宋体" w:cs="宋体" w:hint="eastAsia"/>
                <w:b/>
                <w:color w:val="000000"/>
                <w:szCs w:val="21"/>
              </w:rPr>
              <w:t>评分标准</w:t>
            </w:r>
          </w:p>
        </w:tc>
      </w:tr>
      <w:tr w:rsidR="00064B63" w:rsidRPr="00064B63" w:rsidTr="00667E3E">
        <w:tc>
          <w:tcPr>
            <w:tcW w:w="751" w:type="dxa"/>
            <w:vMerge w:val="restart"/>
            <w:vAlign w:val="center"/>
          </w:tcPr>
          <w:p w:rsidR="00064B63" w:rsidRPr="00064B63" w:rsidRDefault="00064B63" w:rsidP="00064B63">
            <w:pPr>
              <w:adjustRightInd w:val="0"/>
              <w:snapToGrid w:val="0"/>
              <w:jc w:val="left"/>
              <w:rPr>
                <w:rFonts w:ascii="宋体" w:eastAsia="宋体" w:hAnsi="宋体" w:cs="宋体"/>
                <w:color w:val="000000"/>
                <w:szCs w:val="21"/>
              </w:rPr>
            </w:pPr>
            <w:r w:rsidRPr="00064B63">
              <w:rPr>
                <w:rFonts w:ascii="宋体" w:eastAsia="宋体" w:hAnsi="宋体" w:cs="宋体" w:hint="eastAsia"/>
                <w:color w:val="000000"/>
                <w:szCs w:val="21"/>
              </w:rPr>
              <w:t>资信评审（30分）</w:t>
            </w:r>
          </w:p>
        </w:tc>
        <w:tc>
          <w:tcPr>
            <w:tcW w:w="1133" w:type="dxa"/>
            <w:vAlign w:val="center"/>
          </w:tcPr>
          <w:p w:rsidR="00064B63" w:rsidRPr="00064B63" w:rsidRDefault="00064B63" w:rsidP="00064B63">
            <w:pPr>
              <w:widowControl/>
              <w:adjustRightInd w:val="0"/>
              <w:snapToGrid w:val="0"/>
              <w:jc w:val="center"/>
              <w:rPr>
                <w:rFonts w:ascii="宋体" w:eastAsia="宋体" w:hAnsi="宋体" w:cs="宋体"/>
                <w:color w:val="000000"/>
                <w:szCs w:val="21"/>
              </w:rPr>
            </w:pPr>
            <w:r w:rsidRPr="00064B63">
              <w:rPr>
                <w:rFonts w:ascii="宋体" w:eastAsia="宋体" w:hAnsi="宋体" w:cs="宋体" w:hint="eastAsia"/>
                <w:color w:val="000000"/>
                <w:szCs w:val="21"/>
              </w:rPr>
              <w:t>类似项目业绩</w:t>
            </w:r>
          </w:p>
          <w:p w:rsidR="00064B63" w:rsidRPr="00064B63" w:rsidRDefault="00064B63" w:rsidP="00064B63">
            <w:pPr>
              <w:widowControl/>
              <w:adjustRightInd w:val="0"/>
              <w:snapToGrid w:val="0"/>
              <w:jc w:val="center"/>
              <w:rPr>
                <w:rFonts w:ascii="宋体" w:eastAsia="宋体" w:hAnsi="宋体" w:cs="宋体"/>
                <w:color w:val="000000"/>
                <w:szCs w:val="21"/>
              </w:rPr>
            </w:pPr>
            <w:r w:rsidRPr="00064B63">
              <w:rPr>
                <w:rFonts w:ascii="宋体" w:eastAsia="宋体" w:hAnsi="宋体" w:cs="宋体" w:hint="eastAsia"/>
                <w:color w:val="000000"/>
                <w:szCs w:val="21"/>
              </w:rPr>
              <w:t>12分</w:t>
            </w:r>
          </w:p>
        </w:tc>
        <w:tc>
          <w:tcPr>
            <w:tcW w:w="7418" w:type="dxa"/>
            <w:gridSpan w:val="2"/>
            <w:vAlign w:val="center"/>
          </w:tcPr>
          <w:p w:rsidR="00064B63" w:rsidRPr="00064B63" w:rsidRDefault="00064B63" w:rsidP="00064B63">
            <w:pPr>
              <w:adjustRightInd w:val="0"/>
              <w:snapToGrid w:val="0"/>
              <w:jc w:val="left"/>
              <w:rPr>
                <w:rFonts w:ascii="宋体" w:eastAsia="宋体" w:hAnsi="宋体" w:cs="宋体"/>
                <w:color w:val="000000"/>
                <w:szCs w:val="21"/>
              </w:rPr>
            </w:pPr>
            <w:r w:rsidRPr="00064B63">
              <w:rPr>
                <w:rFonts w:ascii="宋体" w:eastAsia="宋体" w:hAnsi="宋体" w:cs="宋体" w:hint="eastAsia"/>
                <w:szCs w:val="21"/>
              </w:rPr>
              <w:t>自2021年1月1日至投标截止日，投标人具有充电桩100万及以上</w:t>
            </w:r>
            <w:proofErr w:type="gramStart"/>
            <w:r w:rsidRPr="00064B63">
              <w:rPr>
                <w:rFonts w:ascii="宋体" w:eastAsia="宋体" w:hAnsi="宋体" w:cs="宋体" w:hint="eastAsia"/>
                <w:szCs w:val="21"/>
              </w:rPr>
              <w:t>纯设备</w:t>
            </w:r>
            <w:proofErr w:type="gramEnd"/>
            <w:r w:rsidRPr="00064B63">
              <w:rPr>
                <w:rFonts w:ascii="宋体" w:eastAsia="宋体" w:hAnsi="宋体" w:cs="宋体" w:hint="eastAsia"/>
                <w:szCs w:val="21"/>
              </w:rPr>
              <w:t>供货业绩，每提供一个得3分，满分12分。（投标文件中须提供业绩合同的复印件（或扫描件）及合同发票，签订时间以业绩合同为准，复印件或扫描件应能辨识买卖双方公章、签订时间，并加盖供应商公章；如业绩合同不能体现以上全部内容，可提供业绩合同甲方加盖公章的证明复印件或扫描件。否则，不得分）</w:t>
            </w:r>
          </w:p>
        </w:tc>
      </w:tr>
      <w:tr w:rsidR="00064B63" w:rsidRPr="00064B63" w:rsidTr="00667E3E">
        <w:tc>
          <w:tcPr>
            <w:tcW w:w="751" w:type="dxa"/>
            <w:vMerge/>
            <w:vAlign w:val="center"/>
          </w:tcPr>
          <w:p w:rsidR="00064B63" w:rsidRPr="00064B63" w:rsidRDefault="00064B63" w:rsidP="00064B63">
            <w:pPr>
              <w:widowControl/>
              <w:adjustRightInd w:val="0"/>
              <w:snapToGrid w:val="0"/>
              <w:jc w:val="left"/>
              <w:rPr>
                <w:rFonts w:ascii="宋体" w:eastAsia="宋体" w:hAnsi="宋体" w:cs="宋体"/>
                <w:color w:val="000000"/>
                <w:szCs w:val="21"/>
              </w:rPr>
            </w:pPr>
          </w:p>
        </w:tc>
        <w:tc>
          <w:tcPr>
            <w:tcW w:w="1133" w:type="dxa"/>
            <w:vAlign w:val="center"/>
          </w:tcPr>
          <w:p w:rsidR="00064B63" w:rsidRPr="00064B63" w:rsidRDefault="00064B63" w:rsidP="00064B63">
            <w:pPr>
              <w:adjustRightInd w:val="0"/>
              <w:snapToGrid w:val="0"/>
              <w:jc w:val="center"/>
              <w:rPr>
                <w:rFonts w:ascii="宋体" w:eastAsia="宋体" w:hAnsi="宋体" w:cs="宋体"/>
                <w:color w:val="000000"/>
                <w:szCs w:val="21"/>
              </w:rPr>
            </w:pPr>
            <w:r w:rsidRPr="00064B63">
              <w:rPr>
                <w:rFonts w:ascii="宋体" w:eastAsia="宋体" w:hAnsi="宋体" w:cs="宋体" w:hint="eastAsia"/>
                <w:color w:val="000000"/>
                <w:szCs w:val="21"/>
              </w:rPr>
              <w:t>企业实力6分</w:t>
            </w:r>
          </w:p>
        </w:tc>
        <w:tc>
          <w:tcPr>
            <w:tcW w:w="7418" w:type="dxa"/>
            <w:gridSpan w:val="2"/>
            <w:vAlign w:val="center"/>
          </w:tcPr>
          <w:p w:rsidR="00064B63" w:rsidRPr="00064B63" w:rsidRDefault="00064B63" w:rsidP="00064B63">
            <w:pPr>
              <w:adjustRightInd w:val="0"/>
              <w:snapToGrid w:val="0"/>
              <w:jc w:val="left"/>
              <w:rPr>
                <w:rFonts w:ascii="宋体" w:eastAsia="宋体" w:hAnsi="宋体" w:cs="宋体"/>
                <w:color w:val="000000"/>
                <w:szCs w:val="21"/>
              </w:rPr>
            </w:pPr>
            <w:r w:rsidRPr="00064B63">
              <w:rPr>
                <w:rFonts w:ascii="宋体" w:eastAsia="宋体" w:hAnsi="宋体" w:cs="宋体" w:hint="eastAsia"/>
                <w:color w:val="000000"/>
                <w:szCs w:val="21"/>
              </w:rPr>
              <w:t>投标人具有有效期内的管理体系认证证书（ISO9001）、环境管理体系认证 证书（ISO14001）、职业健康安全管理体系认证证书（ISO45001）、供应链安全管理体系认证证书、有害物质过程控制管理体系认证、绿色工厂认证证书，有一个的得1分,最多得6分。</w:t>
            </w:r>
          </w:p>
          <w:p w:rsidR="00064B63" w:rsidRPr="00064B63" w:rsidRDefault="00064B63" w:rsidP="00064B63">
            <w:pPr>
              <w:adjustRightInd w:val="0"/>
              <w:snapToGrid w:val="0"/>
              <w:jc w:val="left"/>
              <w:rPr>
                <w:rFonts w:ascii="宋体" w:eastAsia="宋体" w:hAnsi="宋体" w:cs="宋体"/>
                <w:color w:val="000000"/>
                <w:szCs w:val="21"/>
              </w:rPr>
            </w:pPr>
            <w:r w:rsidRPr="00064B63">
              <w:rPr>
                <w:rFonts w:ascii="宋体" w:eastAsia="宋体" w:hAnsi="宋体" w:cs="宋体" w:hint="eastAsia"/>
                <w:color w:val="000000"/>
                <w:szCs w:val="21"/>
              </w:rPr>
              <w:t>注：证书复印件加盖公章编入投标文件中，并同时提供工信部或国家认证认可</w:t>
            </w:r>
            <w:r w:rsidRPr="00064B63">
              <w:rPr>
                <w:rFonts w:ascii="宋体" w:eastAsia="宋体" w:hAnsi="宋体" w:cs="宋体" w:hint="eastAsia"/>
                <w:color w:val="000000"/>
                <w:szCs w:val="21"/>
              </w:rPr>
              <w:lastRenderedPageBreak/>
              <w:t>监督管理委员会官方网站上相关证书有效的网页截图或网站打印页，否则不得分。</w:t>
            </w:r>
          </w:p>
        </w:tc>
      </w:tr>
      <w:tr w:rsidR="00064B63" w:rsidRPr="00064B63" w:rsidTr="00667E3E">
        <w:tc>
          <w:tcPr>
            <w:tcW w:w="751" w:type="dxa"/>
            <w:vMerge/>
            <w:vAlign w:val="center"/>
          </w:tcPr>
          <w:p w:rsidR="00064B63" w:rsidRPr="00064B63" w:rsidRDefault="00064B63" w:rsidP="00064B63">
            <w:pPr>
              <w:widowControl/>
              <w:adjustRightInd w:val="0"/>
              <w:snapToGrid w:val="0"/>
              <w:jc w:val="left"/>
              <w:rPr>
                <w:rFonts w:ascii="宋体" w:eastAsia="宋体" w:hAnsi="宋体" w:cs="宋体"/>
                <w:color w:val="000000"/>
                <w:szCs w:val="21"/>
              </w:rPr>
            </w:pPr>
          </w:p>
        </w:tc>
        <w:tc>
          <w:tcPr>
            <w:tcW w:w="1133" w:type="dxa"/>
            <w:vAlign w:val="center"/>
          </w:tcPr>
          <w:p w:rsidR="00064B63" w:rsidRPr="00064B63" w:rsidRDefault="00064B63" w:rsidP="00064B63">
            <w:pPr>
              <w:adjustRightInd w:val="0"/>
              <w:snapToGrid w:val="0"/>
              <w:jc w:val="center"/>
              <w:rPr>
                <w:rFonts w:ascii="宋体" w:eastAsia="宋体" w:hAnsi="宋体" w:cs="宋体"/>
                <w:color w:val="000000"/>
                <w:szCs w:val="21"/>
              </w:rPr>
            </w:pPr>
            <w:r w:rsidRPr="00064B63">
              <w:rPr>
                <w:rFonts w:ascii="宋体" w:eastAsia="宋体" w:hAnsi="宋体" w:cs="宋体" w:hint="eastAsia"/>
                <w:color w:val="000000"/>
                <w:szCs w:val="21"/>
              </w:rPr>
              <w:t>知识产权3分</w:t>
            </w:r>
          </w:p>
        </w:tc>
        <w:tc>
          <w:tcPr>
            <w:tcW w:w="7418" w:type="dxa"/>
            <w:gridSpan w:val="2"/>
            <w:vAlign w:val="center"/>
          </w:tcPr>
          <w:p w:rsidR="00064B63" w:rsidRPr="00064B63" w:rsidRDefault="00064B63" w:rsidP="00064B63">
            <w:pPr>
              <w:adjustRightInd w:val="0"/>
              <w:snapToGrid w:val="0"/>
              <w:jc w:val="left"/>
              <w:rPr>
                <w:rFonts w:ascii="宋体" w:eastAsia="宋体" w:hAnsi="宋体" w:cs="宋体"/>
                <w:color w:val="000000"/>
                <w:szCs w:val="21"/>
              </w:rPr>
            </w:pPr>
            <w:r w:rsidRPr="00064B63">
              <w:rPr>
                <w:rFonts w:ascii="宋体" w:eastAsia="宋体" w:hAnsi="宋体" w:cs="宋体" w:hint="eastAsia"/>
                <w:color w:val="000000"/>
                <w:szCs w:val="21"/>
              </w:rPr>
              <w:t>投标人被评为知识产权优势企业，国家级的得3分，省级的得2分，市级的得1分，没有不得分。证明材料：提供公示彩色截图附件名单，否则不得分。</w:t>
            </w:r>
          </w:p>
        </w:tc>
      </w:tr>
      <w:tr w:rsidR="00064B63" w:rsidRPr="00064B63" w:rsidTr="00667E3E">
        <w:tc>
          <w:tcPr>
            <w:tcW w:w="751" w:type="dxa"/>
            <w:vMerge/>
            <w:vAlign w:val="center"/>
          </w:tcPr>
          <w:p w:rsidR="00064B63" w:rsidRPr="00064B63" w:rsidRDefault="00064B63" w:rsidP="00064B63">
            <w:pPr>
              <w:widowControl/>
              <w:adjustRightInd w:val="0"/>
              <w:snapToGrid w:val="0"/>
              <w:jc w:val="left"/>
              <w:rPr>
                <w:rFonts w:ascii="宋体" w:eastAsia="宋体" w:hAnsi="宋体" w:cs="宋体"/>
                <w:color w:val="000000"/>
                <w:szCs w:val="21"/>
              </w:rPr>
            </w:pPr>
          </w:p>
        </w:tc>
        <w:tc>
          <w:tcPr>
            <w:tcW w:w="1133" w:type="dxa"/>
            <w:vAlign w:val="center"/>
          </w:tcPr>
          <w:p w:rsidR="00064B63" w:rsidRPr="00064B63" w:rsidRDefault="00064B63" w:rsidP="00064B63">
            <w:pPr>
              <w:adjustRightInd w:val="0"/>
              <w:snapToGrid w:val="0"/>
              <w:jc w:val="center"/>
              <w:rPr>
                <w:rFonts w:ascii="宋体" w:eastAsia="宋体" w:hAnsi="宋体" w:cs="宋体"/>
                <w:color w:val="000000"/>
                <w:szCs w:val="21"/>
              </w:rPr>
            </w:pPr>
            <w:r w:rsidRPr="00064B63">
              <w:rPr>
                <w:rFonts w:ascii="宋体" w:eastAsia="宋体" w:hAnsi="宋体" w:cs="宋体" w:hint="eastAsia"/>
                <w:color w:val="000000"/>
                <w:szCs w:val="21"/>
              </w:rPr>
              <w:t>项目团队6分</w:t>
            </w:r>
          </w:p>
        </w:tc>
        <w:tc>
          <w:tcPr>
            <w:tcW w:w="7418" w:type="dxa"/>
            <w:gridSpan w:val="2"/>
            <w:vAlign w:val="center"/>
          </w:tcPr>
          <w:p w:rsidR="00064B63" w:rsidRPr="00064B63" w:rsidRDefault="00064B63" w:rsidP="00064B63">
            <w:pPr>
              <w:widowControl/>
              <w:rPr>
                <w:rFonts w:ascii="宋体" w:eastAsia="宋体" w:hAnsi="宋体" w:cs="宋体"/>
                <w:szCs w:val="21"/>
              </w:rPr>
            </w:pPr>
            <w:r w:rsidRPr="00064B63">
              <w:rPr>
                <w:rFonts w:ascii="Calibri" w:eastAsia="宋体" w:hAnsi="宋体" w:cs="宋体" w:hint="eastAsia"/>
                <w:szCs w:val="21"/>
              </w:rPr>
              <w:t>1</w:t>
            </w:r>
            <w:r w:rsidRPr="00064B63">
              <w:rPr>
                <w:rFonts w:ascii="宋体" w:eastAsia="宋体" w:hAnsi="宋体" w:cs="宋体" w:hint="eastAsia"/>
                <w:szCs w:val="21"/>
              </w:rPr>
              <w:t>、投标人项目组团队中技术负责人具有电力类或机电类相关专业高级及以上技术职称的，每有一人得</w:t>
            </w:r>
            <w:r w:rsidRPr="00064B63">
              <w:rPr>
                <w:rFonts w:ascii="Calibri" w:eastAsia="宋体" w:hAnsi="宋体" w:cs="宋体" w:hint="eastAsia"/>
                <w:szCs w:val="21"/>
              </w:rPr>
              <w:t>2</w:t>
            </w:r>
            <w:r w:rsidRPr="00064B63">
              <w:rPr>
                <w:rFonts w:ascii="宋体" w:eastAsia="宋体" w:hAnsi="宋体" w:cs="宋体" w:hint="eastAsia"/>
                <w:szCs w:val="21"/>
              </w:rPr>
              <w:t>分，最多4分。</w:t>
            </w:r>
          </w:p>
          <w:p w:rsidR="00064B63" w:rsidRPr="00064B63" w:rsidRDefault="00064B63" w:rsidP="00064B63">
            <w:pPr>
              <w:adjustRightInd w:val="0"/>
              <w:snapToGrid w:val="0"/>
              <w:rPr>
                <w:rFonts w:ascii="宋体" w:eastAsia="宋体" w:hAnsi="宋体" w:cs="宋体"/>
                <w:szCs w:val="21"/>
              </w:rPr>
            </w:pPr>
            <w:r w:rsidRPr="00064B63">
              <w:rPr>
                <w:rFonts w:ascii="宋体" w:eastAsia="宋体" w:hAnsi="宋体" w:cs="宋体" w:hint="eastAsia"/>
                <w:szCs w:val="21"/>
              </w:rPr>
              <w:t>3、投标人项目</w:t>
            </w:r>
            <w:proofErr w:type="gramStart"/>
            <w:r w:rsidRPr="00064B63">
              <w:rPr>
                <w:rFonts w:ascii="宋体" w:eastAsia="宋体" w:hAnsi="宋体" w:cs="宋体" w:hint="eastAsia"/>
                <w:szCs w:val="21"/>
              </w:rPr>
              <w:t>组团队</w:t>
            </w:r>
            <w:proofErr w:type="gramEnd"/>
            <w:r w:rsidRPr="00064B63">
              <w:rPr>
                <w:rFonts w:ascii="宋体" w:eastAsia="宋体" w:hAnsi="宋体" w:cs="宋体" w:hint="eastAsia"/>
                <w:szCs w:val="21"/>
              </w:rPr>
              <w:t>名单中具有每提供一个持有高、低压电工作业证（特种作业证，应急管理部门颁发）的运</w:t>
            </w:r>
            <w:proofErr w:type="gramStart"/>
            <w:r w:rsidRPr="00064B63">
              <w:rPr>
                <w:rFonts w:ascii="宋体" w:eastAsia="宋体" w:hAnsi="宋体" w:cs="宋体" w:hint="eastAsia"/>
                <w:szCs w:val="21"/>
              </w:rPr>
              <w:t>维人员加</w:t>
            </w:r>
            <w:proofErr w:type="gramEnd"/>
            <w:r w:rsidRPr="00064B63">
              <w:rPr>
                <w:rFonts w:ascii="宋体" w:eastAsia="宋体" w:hAnsi="宋体" w:cs="宋体" w:hint="eastAsia"/>
                <w:szCs w:val="21"/>
              </w:rPr>
              <w:t>1分，满分2分。注：投标文件中须提供上述人员证书彩色扫描件和2024年5月1日至开标日期间任意连续6个月由投标人为其缴纳的</w:t>
            </w:r>
            <w:proofErr w:type="gramStart"/>
            <w:r w:rsidRPr="00064B63">
              <w:rPr>
                <w:rFonts w:ascii="宋体" w:eastAsia="宋体" w:hAnsi="宋体" w:cs="宋体" w:hint="eastAsia"/>
                <w:szCs w:val="21"/>
              </w:rPr>
              <w:t>社保证明</w:t>
            </w:r>
            <w:proofErr w:type="gramEnd"/>
            <w:r w:rsidRPr="00064B63">
              <w:rPr>
                <w:rFonts w:ascii="宋体" w:eastAsia="宋体" w:hAnsi="宋体" w:cs="宋体" w:hint="eastAsia"/>
                <w:szCs w:val="21"/>
              </w:rPr>
              <w:t>。</w:t>
            </w:r>
          </w:p>
        </w:tc>
      </w:tr>
      <w:tr w:rsidR="00064B63" w:rsidRPr="00064B63" w:rsidTr="00667E3E">
        <w:tc>
          <w:tcPr>
            <w:tcW w:w="751" w:type="dxa"/>
            <w:vMerge/>
            <w:vAlign w:val="center"/>
          </w:tcPr>
          <w:p w:rsidR="00064B63" w:rsidRPr="00064B63" w:rsidRDefault="00064B63" w:rsidP="00064B63">
            <w:pPr>
              <w:widowControl/>
              <w:adjustRightInd w:val="0"/>
              <w:snapToGrid w:val="0"/>
              <w:jc w:val="left"/>
              <w:rPr>
                <w:rFonts w:ascii="宋体" w:eastAsia="宋体" w:hAnsi="宋体" w:cs="宋体"/>
                <w:color w:val="000000"/>
                <w:szCs w:val="21"/>
              </w:rPr>
            </w:pPr>
          </w:p>
        </w:tc>
        <w:tc>
          <w:tcPr>
            <w:tcW w:w="1133" w:type="dxa"/>
            <w:vAlign w:val="center"/>
          </w:tcPr>
          <w:p w:rsidR="00064B63" w:rsidRPr="00064B63" w:rsidRDefault="00064B63" w:rsidP="00064B63">
            <w:pPr>
              <w:adjustRightInd w:val="0"/>
              <w:snapToGrid w:val="0"/>
              <w:jc w:val="center"/>
              <w:rPr>
                <w:rFonts w:ascii="宋体" w:eastAsia="宋体" w:hAnsi="宋体" w:cs="宋体"/>
                <w:color w:val="000000"/>
                <w:szCs w:val="21"/>
              </w:rPr>
            </w:pPr>
            <w:r w:rsidRPr="00064B63">
              <w:rPr>
                <w:rFonts w:ascii="宋体" w:eastAsia="宋体" w:hAnsi="宋体" w:cs="宋体" w:hint="eastAsia"/>
                <w:color w:val="000000"/>
                <w:szCs w:val="21"/>
              </w:rPr>
              <w:t>产品保险3分</w:t>
            </w:r>
          </w:p>
        </w:tc>
        <w:tc>
          <w:tcPr>
            <w:tcW w:w="7418" w:type="dxa"/>
            <w:gridSpan w:val="2"/>
            <w:vAlign w:val="center"/>
          </w:tcPr>
          <w:p w:rsidR="00064B63" w:rsidRPr="00064B63" w:rsidRDefault="00064B63" w:rsidP="00064B63">
            <w:pPr>
              <w:adjustRightInd w:val="0"/>
              <w:snapToGrid w:val="0"/>
              <w:jc w:val="left"/>
              <w:rPr>
                <w:rFonts w:ascii="宋体" w:eastAsia="宋体" w:hAnsi="宋体" w:cs="宋体"/>
                <w:szCs w:val="21"/>
              </w:rPr>
            </w:pPr>
            <w:r w:rsidRPr="00064B63">
              <w:rPr>
                <w:rFonts w:ascii="宋体" w:eastAsia="宋体" w:hAnsi="宋体" w:cs="宋体" w:hint="eastAsia"/>
                <w:szCs w:val="21"/>
              </w:rPr>
              <w:t>所投品牌充电设备投保的产品责任险，年度累计赔偿限额≥6000万元（人民币）且每次事故赔偿限额≥1000万元（人民币），得3分；3000万元≤年度累计赔偿限额&lt;6000万元（人民币）且每次事故赔偿限额≥1000万元（人民币）得2分；1000万元≤年度累计赔偿限额&lt;3000万元（人民币）且每次事故赔偿限额≥300万元（人民币）得1分；其他不得分；注：产品有效责任险保险产品至少包含主要产品分体式、</w:t>
            </w:r>
            <w:proofErr w:type="gramStart"/>
            <w:r w:rsidRPr="00064B63">
              <w:rPr>
                <w:rFonts w:ascii="宋体" w:eastAsia="宋体" w:hAnsi="宋体" w:cs="宋体" w:hint="eastAsia"/>
                <w:szCs w:val="21"/>
              </w:rPr>
              <w:t>一</w:t>
            </w:r>
            <w:proofErr w:type="gramEnd"/>
            <w:r w:rsidRPr="00064B63">
              <w:rPr>
                <w:rFonts w:ascii="宋体" w:eastAsia="宋体" w:hAnsi="宋体" w:cs="宋体" w:hint="eastAsia"/>
                <w:szCs w:val="21"/>
              </w:rPr>
              <w:t>体式直流充电机，否则不计分。</w:t>
            </w:r>
          </w:p>
        </w:tc>
      </w:tr>
      <w:tr w:rsidR="00064B63" w:rsidRPr="00064B63" w:rsidTr="00667E3E">
        <w:tc>
          <w:tcPr>
            <w:tcW w:w="751" w:type="dxa"/>
            <w:vMerge w:val="restart"/>
            <w:vAlign w:val="center"/>
          </w:tcPr>
          <w:p w:rsidR="00064B63" w:rsidRPr="00064B63" w:rsidRDefault="00064B63" w:rsidP="00064B63">
            <w:pPr>
              <w:widowControl/>
              <w:adjustRightInd w:val="0"/>
              <w:snapToGrid w:val="0"/>
              <w:jc w:val="left"/>
              <w:rPr>
                <w:rFonts w:ascii="宋体" w:eastAsia="宋体" w:hAnsi="宋体" w:cs="宋体"/>
                <w:color w:val="000000"/>
                <w:szCs w:val="21"/>
              </w:rPr>
            </w:pPr>
            <w:r w:rsidRPr="00064B63">
              <w:rPr>
                <w:rFonts w:ascii="宋体" w:eastAsia="宋体" w:hAnsi="宋体" w:cs="宋体" w:hint="eastAsia"/>
                <w:color w:val="000000"/>
                <w:szCs w:val="21"/>
              </w:rPr>
              <w:t>技术评审50分</w:t>
            </w:r>
          </w:p>
        </w:tc>
        <w:tc>
          <w:tcPr>
            <w:tcW w:w="1133" w:type="dxa"/>
            <w:vAlign w:val="center"/>
          </w:tcPr>
          <w:p w:rsidR="00064B63" w:rsidRPr="00064B63" w:rsidRDefault="00064B63" w:rsidP="00064B63">
            <w:pPr>
              <w:widowControl/>
              <w:adjustRightInd w:val="0"/>
              <w:snapToGrid w:val="0"/>
              <w:jc w:val="center"/>
              <w:rPr>
                <w:rFonts w:ascii="宋体" w:eastAsia="宋体" w:hAnsi="宋体" w:cs="宋体"/>
                <w:color w:val="000000"/>
                <w:szCs w:val="21"/>
              </w:rPr>
            </w:pPr>
            <w:r w:rsidRPr="00064B63">
              <w:rPr>
                <w:rFonts w:ascii="宋体" w:eastAsia="宋体" w:hAnsi="宋体" w:cs="宋体" w:hint="eastAsia"/>
                <w:color w:val="000000"/>
                <w:szCs w:val="21"/>
              </w:rPr>
              <w:t>设备技术先进性</w:t>
            </w:r>
          </w:p>
          <w:p w:rsidR="00064B63" w:rsidRPr="00064B63" w:rsidRDefault="00064B63" w:rsidP="00064B63">
            <w:pPr>
              <w:widowControl/>
              <w:adjustRightInd w:val="0"/>
              <w:snapToGrid w:val="0"/>
              <w:jc w:val="center"/>
              <w:rPr>
                <w:rFonts w:ascii="宋体" w:eastAsia="宋体" w:hAnsi="宋体" w:cs="宋体"/>
                <w:caps/>
                <w:color w:val="000000"/>
                <w:szCs w:val="21"/>
              </w:rPr>
            </w:pPr>
            <w:r w:rsidRPr="00064B63">
              <w:rPr>
                <w:rFonts w:ascii="宋体" w:eastAsia="宋体" w:hAnsi="宋体" w:cs="宋体" w:hint="eastAsia"/>
                <w:color w:val="000000"/>
                <w:szCs w:val="21"/>
              </w:rPr>
              <w:t>10分</w:t>
            </w:r>
          </w:p>
        </w:tc>
        <w:tc>
          <w:tcPr>
            <w:tcW w:w="7418" w:type="dxa"/>
            <w:gridSpan w:val="2"/>
            <w:vAlign w:val="center"/>
          </w:tcPr>
          <w:p w:rsidR="00064B63" w:rsidRPr="00064B63" w:rsidRDefault="00064B63" w:rsidP="00064B63">
            <w:pPr>
              <w:adjustRightInd w:val="0"/>
              <w:snapToGrid w:val="0"/>
              <w:jc w:val="left"/>
              <w:rPr>
                <w:rFonts w:ascii="宋体" w:eastAsia="宋体" w:hAnsi="宋体" w:cs="宋体"/>
                <w:szCs w:val="21"/>
              </w:rPr>
            </w:pPr>
            <w:r w:rsidRPr="00064B63">
              <w:rPr>
                <w:rFonts w:ascii="宋体" w:eastAsia="宋体" w:hAnsi="宋体" w:cs="宋体" w:hint="eastAsia"/>
                <w:szCs w:val="21"/>
              </w:rPr>
              <w:t>技术要求的响应程度：</w:t>
            </w:r>
          </w:p>
          <w:p w:rsidR="00064B63" w:rsidRPr="00064B63" w:rsidRDefault="00064B63" w:rsidP="00064B63">
            <w:pPr>
              <w:adjustRightInd w:val="0"/>
              <w:snapToGrid w:val="0"/>
              <w:jc w:val="left"/>
              <w:rPr>
                <w:rFonts w:ascii="宋体" w:eastAsia="宋体" w:hAnsi="宋体" w:cs="宋体"/>
                <w:szCs w:val="21"/>
              </w:rPr>
            </w:pPr>
            <w:r w:rsidRPr="00064B63">
              <w:rPr>
                <w:rFonts w:ascii="宋体" w:eastAsia="宋体" w:hAnsi="宋体" w:cs="宋体" w:hint="eastAsia"/>
                <w:szCs w:val="21"/>
              </w:rPr>
              <w:t>1、标注“▲ ”的参数有一项指标不满足的，扣 1分，扣完为止；</w:t>
            </w:r>
          </w:p>
          <w:p w:rsidR="00064B63" w:rsidRPr="00064B63" w:rsidRDefault="00064B63" w:rsidP="00064B63">
            <w:pPr>
              <w:adjustRightInd w:val="0"/>
              <w:snapToGrid w:val="0"/>
              <w:jc w:val="left"/>
              <w:rPr>
                <w:rFonts w:ascii="宋体" w:eastAsia="宋体" w:hAnsi="宋体" w:cs="宋体"/>
                <w:szCs w:val="21"/>
              </w:rPr>
            </w:pPr>
            <w:r w:rsidRPr="00064B63">
              <w:rPr>
                <w:rFonts w:ascii="宋体" w:eastAsia="宋体" w:hAnsi="宋体" w:cs="宋体" w:hint="eastAsia"/>
                <w:szCs w:val="21"/>
              </w:rPr>
              <w:t>2、无“▲ ”标志的技术参数，为本项目的基本需求，投标人自行承诺完全满足参数要求(承诺书格式自拟)，无标志的技术参数中要求提供相关材料投标时可以提供也可以不提供，承诺满足(或优于)招标文件要求即可，未提供承诺书或未响应的本项10分不得分；</w:t>
            </w:r>
          </w:p>
          <w:p w:rsidR="00064B63" w:rsidRPr="00064B63" w:rsidRDefault="00064B63" w:rsidP="00064B63">
            <w:pPr>
              <w:adjustRightInd w:val="0"/>
              <w:snapToGrid w:val="0"/>
              <w:jc w:val="left"/>
              <w:rPr>
                <w:rFonts w:ascii="宋体" w:eastAsia="宋体" w:hAnsi="宋体" w:cs="宋体"/>
                <w:szCs w:val="21"/>
              </w:rPr>
            </w:pPr>
            <w:r w:rsidRPr="00064B63">
              <w:rPr>
                <w:rFonts w:ascii="宋体" w:eastAsia="宋体" w:hAnsi="宋体" w:cs="宋体" w:hint="eastAsia"/>
                <w:szCs w:val="21"/>
              </w:rPr>
              <w:t>注：技术参数要求中标“▲”项目须提供第三方具有CNA或CMA标志检验机构的检测检验报告作为评审依据，未能提供的视为不响应（承诺和产品手册不作为评分依据）。</w:t>
            </w:r>
          </w:p>
        </w:tc>
      </w:tr>
      <w:tr w:rsidR="00064B63" w:rsidRPr="00064B63" w:rsidTr="00667E3E">
        <w:tc>
          <w:tcPr>
            <w:tcW w:w="751" w:type="dxa"/>
            <w:vMerge/>
            <w:vAlign w:val="center"/>
          </w:tcPr>
          <w:p w:rsidR="00064B63" w:rsidRPr="00064B63" w:rsidRDefault="00064B63" w:rsidP="00064B63">
            <w:pPr>
              <w:widowControl/>
              <w:adjustRightInd w:val="0"/>
              <w:snapToGrid w:val="0"/>
              <w:jc w:val="left"/>
              <w:rPr>
                <w:rFonts w:ascii="宋体" w:eastAsia="宋体" w:hAnsi="宋体" w:cs="宋体"/>
                <w:color w:val="000000"/>
                <w:szCs w:val="21"/>
              </w:rPr>
            </w:pPr>
          </w:p>
        </w:tc>
        <w:tc>
          <w:tcPr>
            <w:tcW w:w="1133" w:type="dxa"/>
            <w:vAlign w:val="center"/>
          </w:tcPr>
          <w:p w:rsidR="00064B63" w:rsidRPr="00064B63" w:rsidRDefault="00064B63" w:rsidP="00064B63">
            <w:pPr>
              <w:widowControl/>
              <w:kinsoku w:val="0"/>
              <w:autoSpaceDE w:val="0"/>
              <w:autoSpaceDN w:val="0"/>
              <w:adjustRightInd w:val="0"/>
              <w:snapToGrid w:val="0"/>
              <w:jc w:val="center"/>
              <w:textAlignment w:val="center"/>
              <w:rPr>
                <w:rFonts w:ascii="宋体" w:eastAsia="宋体" w:hAnsi="宋体" w:cs="宋体"/>
                <w:spacing w:val="4"/>
                <w:szCs w:val="21"/>
              </w:rPr>
            </w:pPr>
            <w:r w:rsidRPr="00064B63">
              <w:rPr>
                <w:rFonts w:ascii="宋体" w:eastAsia="宋体" w:hAnsi="宋体" w:cs="宋体" w:hint="eastAsia"/>
                <w:spacing w:val="4"/>
                <w:szCs w:val="21"/>
              </w:rPr>
              <w:t>项目实施方案</w:t>
            </w:r>
          </w:p>
          <w:p w:rsidR="00064B63" w:rsidRPr="00064B63" w:rsidRDefault="00064B63" w:rsidP="00064B63">
            <w:pPr>
              <w:widowControl/>
              <w:kinsoku w:val="0"/>
              <w:autoSpaceDE w:val="0"/>
              <w:autoSpaceDN w:val="0"/>
              <w:adjustRightInd w:val="0"/>
              <w:snapToGrid w:val="0"/>
              <w:jc w:val="center"/>
              <w:textAlignment w:val="center"/>
              <w:rPr>
                <w:rFonts w:ascii="宋体" w:eastAsia="宋体" w:hAnsi="宋体" w:cs="宋体"/>
                <w:color w:val="000000"/>
                <w:szCs w:val="21"/>
              </w:rPr>
            </w:pPr>
            <w:r w:rsidRPr="00064B63">
              <w:rPr>
                <w:rFonts w:ascii="宋体" w:eastAsia="宋体" w:hAnsi="宋体" w:cs="宋体" w:hint="eastAsia"/>
                <w:szCs w:val="21"/>
              </w:rPr>
              <w:t>20分</w:t>
            </w:r>
          </w:p>
        </w:tc>
        <w:tc>
          <w:tcPr>
            <w:tcW w:w="7418" w:type="dxa"/>
            <w:gridSpan w:val="2"/>
            <w:vAlign w:val="center"/>
          </w:tcPr>
          <w:p w:rsidR="009D31BC" w:rsidRDefault="00064B63" w:rsidP="00064B63">
            <w:pPr>
              <w:widowControl/>
              <w:kinsoku w:val="0"/>
              <w:autoSpaceDE w:val="0"/>
              <w:autoSpaceDN w:val="0"/>
              <w:adjustRightInd w:val="0"/>
              <w:snapToGrid w:val="0"/>
              <w:jc w:val="left"/>
              <w:textAlignment w:val="center"/>
              <w:rPr>
                <w:rFonts w:ascii="宋体" w:eastAsia="宋体" w:hAnsi="宋体" w:cs="宋体"/>
                <w:szCs w:val="21"/>
              </w:rPr>
            </w:pPr>
            <w:r w:rsidRPr="00064B63">
              <w:rPr>
                <w:rFonts w:ascii="宋体" w:eastAsia="宋体" w:hAnsi="宋体" w:cs="宋体" w:hint="eastAsia"/>
                <w:szCs w:val="21"/>
              </w:rPr>
              <w:t>投标人应针对本项目提供详细的实施方案，主要内容包括：</w:t>
            </w:r>
          </w:p>
          <w:p w:rsidR="009D31BC" w:rsidRPr="009D31BC" w:rsidRDefault="00064B63" w:rsidP="00064B63">
            <w:pPr>
              <w:widowControl/>
              <w:kinsoku w:val="0"/>
              <w:autoSpaceDE w:val="0"/>
              <w:autoSpaceDN w:val="0"/>
              <w:adjustRightInd w:val="0"/>
              <w:snapToGrid w:val="0"/>
              <w:jc w:val="left"/>
              <w:textAlignment w:val="center"/>
              <w:rPr>
                <w:rFonts w:ascii="宋体" w:eastAsia="宋体" w:hAnsi="宋体" w:cs="宋体"/>
                <w:szCs w:val="21"/>
              </w:rPr>
            </w:pPr>
            <w:r w:rsidRPr="00064B63">
              <w:rPr>
                <w:rFonts w:ascii="宋体" w:eastAsia="宋体" w:hAnsi="宋体" w:cs="宋体" w:hint="eastAsia"/>
                <w:szCs w:val="21"/>
              </w:rPr>
              <w:t>①对项目所在区域现状背景，供货周期（货到现场）、工期、项目实施的重点难点以及措施方案作详细阐述及承诺</w:t>
            </w:r>
            <w:r w:rsidR="009D31BC">
              <w:rPr>
                <w:rFonts w:ascii="宋体" w:eastAsia="宋体" w:hAnsi="宋体" w:cs="宋体" w:hint="eastAsia"/>
                <w:szCs w:val="21"/>
              </w:rPr>
              <w:t>。此项共计5分，</w:t>
            </w:r>
            <w:r w:rsidR="009D31BC" w:rsidRPr="009D31BC">
              <w:rPr>
                <w:rFonts w:ascii="宋体" w:eastAsia="宋体" w:hAnsi="宋体" w:cs="宋体"/>
                <w:szCs w:val="21"/>
              </w:rPr>
              <w:t>每提供1小项得</w:t>
            </w:r>
            <w:r w:rsidR="009D31BC" w:rsidRPr="009D31BC">
              <w:rPr>
                <w:rFonts w:ascii="宋体" w:eastAsia="宋体" w:hAnsi="宋体" w:cs="宋体" w:hint="eastAsia"/>
                <w:szCs w:val="21"/>
              </w:rPr>
              <w:t>1分；</w:t>
            </w:r>
          </w:p>
          <w:p w:rsidR="009D31BC" w:rsidRDefault="00064B63" w:rsidP="00064B63">
            <w:pPr>
              <w:widowControl/>
              <w:kinsoku w:val="0"/>
              <w:autoSpaceDE w:val="0"/>
              <w:autoSpaceDN w:val="0"/>
              <w:adjustRightInd w:val="0"/>
              <w:snapToGrid w:val="0"/>
              <w:jc w:val="left"/>
              <w:textAlignment w:val="center"/>
              <w:rPr>
                <w:rFonts w:ascii="宋体" w:eastAsia="宋体" w:hAnsi="宋体" w:cs="宋体"/>
                <w:szCs w:val="21"/>
              </w:rPr>
            </w:pPr>
            <w:r w:rsidRPr="00064B63">
              <w:rPr>
                <w:rFonts w:ascii="宋体" w:eastAsia="宋体" w:hAnsi="宋体" w:cs="宋体" w:hint="eastAsia"/>
                <w:szCs w:val="21"/>
              </w:rPr>
              <w:t>②提供现场照片，并对每个站点施工相关环境进行针对性描述</w:t>
            </w:r>
            <w:r w:rsidR="008233C8">
              <w:rPr>
                <w:rFonts w:ascii="宋体" w:eastAsia="宋体" w:hAnsi="宋体" w:cs="宋体" w:hint="eastAsia"/>
                <w:szCs w:val="21"/>
              </w:rPr>
              <w:t>。此项共计5分</w:t>
            </w:r>
            <w:r w:rsidRPr="00064B63">
              <w:rPr>
                <w:rFonts w:ascii="宋体" w:eastAsia="宋体" w:hAnsi="宋体" w:cs="宋体" w:hint="eastAsia"/>
                <w:szCs w:val="21"/>
              </w:rPr>
              <w:t xml:space="preserve">； </w:t>
            </w:r>
          </w:p>
          <w:p w:rsidR="00064B63" w:rsidRPr="009D31BC" w:rsidRDefault="00064B63" w:rsidP="00064B63">
            <w:pPr>
              <w:widowControl/>
              <w:kinsoku w:val="0"/>
              <w:autoSpaceDE w:val="0"/>
              <w:autoSpaceDN w:val="0"/>
              <w:adjustRightInd w:val="0"/>
              <w:snapToGrid w:val="0"/>
              <w:jc w:val="left"/>
              <w:textAlignment w:val="center"/>
              <w:rPr>
                <w:rFonts w:ascii="宋体" w:eastAsia="宋体" w:hAnsi="宋体" w:cs="宋体"/>
                <w:szCs w:val="21"/>
              </w:rPr>
            </w:pPr>
            <w:r w:rsidRPr="00064B63">
              <w:rPr>
                <w:rFonts w:ascii="宋体" w:eastAsia="宋体" w:hAnsi="宋体" w:cs="宋体" w:hint="eastAsia"/>
                <w:szCs w:val="21"/>
              </w:rPr>
              <w:t>③按招标人要求工期的列出总体进度计划（包括但不限于质量管理方案、施工组织设计、设备排产计划、货到现场时间、 安装人员及设备安排、调试时间、交付时间及整体进度计划、 安全施工方案）， 并承诺按此计划完成招标人要求的所有工作内容。</w:t>
            </w:r>
            <w:r w:rsidR="008233C8">
              <w:rPr>
                <w:rFonts w:ascii="宋体" w:eastAsia="宋体" w:hAnsi="宋体" w:cs="宋体" w:hint="eastAsia"/>
                <w:szCs w:val="21"/>
              </w:rPr>
              <w:t>此项共计10分，</w:t>
            </w:r>
            <w:r w:rsidR="008233C8" w:rsidRPr="009D31BC">
              <w:rPr>
                <w:rFonts w:ascii="宋体" w:eastAsia="宋体" w:hAnsi="宋体" w:cs="宋体"/>
                <w:szCs w:val="21"/>
              </w:rPr>
              <w:t>每提供1小项得</w:t>
            </w:r>
            <w:r w:rsidR="008233C8" w:rsidRPr="009D31BC">
              <w:rPr>
                <w:rFonts w:ascii="宋体" w:eastAsia="宋体" w:hAnsi="宋体" w:cs="宋体" w:hint="eastAsia"/>
                <w:szCs w:val="21"/>
              </w:rPr>
              <w:t>1分</w:t>
            </w:r>
          </w:p>
        </w:tc>
      </w:tr>
      <w:tr w:rsidR="00064B63" w:rsidRPr="00064B63" w:rsidTr="00667E3E">
        <w:tc>
          <w:tcPr>
            <w:tcW w:w="751" w:type="dxa"/>
            <w:vMerge/>
            <w:vAlign w:val="center"/>
          </w:tcPr>
          <w:p w:rsidR="00064B63" w:rsidRPr="00064B63" w:rsidRDefault="00064B63" w:rsidP="00064B63">
            <w:pPr>
              <w:widowControl/>
              <w:adjustRightInd w:val="0"/>
              <w:snapToGrid w:val="0"/>
              <w:jc w:val="left"/>
              <w:rPr>
                <w:rFonts w:ascii="宋体" w:eastAsia="宋体" w:hAnsi="宋体" w:cs="宋体"/>
                <w:color w:val="000000"/>
                <w:szCs w:val="21"/>
              </w:rPr>
            </w:pPr>
          </w:p>
        </w:tc>
        <w:tc>
          <w:tcPr>
            <w:tcW w:w="1133" w:type="dxa"/>
            <w:vAlign w:val="center"/>
          </w:tcPr>
          <w:p w:rsidR="00064B63" w:rsidRPr="00064B63" w:rsidRDefault="00064B63" w:rsidP="00064B63">
            <w:pPr>
              <w:widowControl/>
              <w:kinsoku w:val="0"/>
              <w:autoSpaceDE w:val="0"/>
              <w:autoSpaceDN w:val="0"/>
              <w:adjustRightInd w:val="0"/>
              <w:snapToGrid w:val="0"/>
              <w:jc w:val="center"/>
              <w:textAlignment w:val="center"/>
              <w:rPr>
                <w:rFonts w:ascii="宋体" w:eastAsia="宋体" w:hAnsi="宋体" w:cs="宋体"/>
                <w:spacing w:val="-3"/>
                <w:szCs w:val="21"/>
              </w:rPr>
            </w:pPr>
            <w:r w:rsidRPr="00064B63">
              <w:rPr>
                <w:rFonts w:ascii="宋体" w:eastAsia="宋体" w:hAnsi="宋体" w:cs="宋体" w:hint="eastAsia"/>
                <w:spacing w:val="-3"/>
                <w:szCs w:val="21"/>
              </w:rPr>
              <w:t>售后服务方案</w:t>
            </w:r>
          </w:p>
          <w:p w:rsidR="00064B63" w:rsidRPr="00064B63" w:rsidRDefault="00064B63" w:rsidP="00064B63">
            <w:pPr>
              <w:widowControl/>
              <w:kinsoku w:val="0"/>
              <w:autoSpaceDE w:val="0"/>
              <w:autoSpaceDN w:val="0"/>
              <w:adjustRightInd w:val="0"/>
              <w:snapToGrid w:val="0"/>
              <w:jc w:val="center"/>
              <w:textAlignment w:val="center"/>
              <w:rPr>
                <w:rFonts w:ascii="宋体" w:eastAsia="宋体" w:hAnsi="宋体" w:cs="宋体"/>
                <w:color w:val="000000"/>
                <w:szCs w:val="21"/>
              </w:rPr>
            </w:pPr>
            <w:r w:rsidRPr="00064B63">
              <w:rPr>
                <w:rFonts w:ascii="宋体" w:eastAsia="宋体" w:hAnsi="宋体" w:cs="宋体" w:hint="eastAsia"/>
                <w:szCs w:val="21"/>
              </w:rPr>
              <w:t>10分</w:t>
            </w:r>
          </w:p>
        </w:tc>
        <w:tc>
          <w:tcPr>
            <w:tcW w:w="7418" w:type="dxa"/>
            <w:gridSpan w:val="2"/>
            <w:vAlign w:val="center"/>
          </w:tcPr>
          <w:p w:rsidR="00064B63" w:rsidRDefault="00064B63" w:rsidP="008233C8">
            <w:pPr>
              <w:widowControl/>
              <w:jc w:val="left"/>
              <w:rPr>
                <w:rFonts w:ascii="宋体" w:eastAsia="宋体" w:hAnsi="宋体" w:cs="宋体"/>
                <w:szCs w:val="21"/>
              </w:rPr>
            </w:pPr>
            <w:r w:rsidRPr="00064B63">
              <w:rPr>
                <w:rFonts w:ascii="宋体" w:eastAsia="宋体" w:hAnsi="宋体" w:cs="宋体" w:hint="eastAsia"/>
                <w:spacing w:val="9"/>
                <w:szCs w:val="21"/>
              </w:rPr>
              <w:t>根据投标文件中提供的售后服务方案，主要内容包括：① 对运维工作人员配置；②巡查排</w:t>
            </w:r>
            <w:proofErr w:type="gramStart"/>
            <w:r w:rsidRPr="00064B63">
              <w:rPr>
                <w:rFonts w:ascii="宋体" w:eastAsia="宋体" w:hAnsi="宋体" w:cs="宋体" w:hint="eastAsia"/>
                <w:spacing w:val="9"/>
                <w:szCs w:val="21"/>
              </w:rPr>
              <w:t>故方案</w:t>
            </w:r>
            <w:proofErr w:type="gramEnd"/>
            <w:r w:rsidRPr="00064B63">
              <w:rPr>
                <w:rFonts w:ascii="宋体" w:eastAsia="宋体" w:hAnsi="宋体" w:cs="宋体" w:hint="eastAsia"/>
                <w:spacing w:val="9"/>
                <w:szCs w:val="21"/>
              </w:rPr>
              <w:t>及措施；③故障级别划分并根据各级别故障的响应 时间；④运营监控平台的免费开发使用承诺情况(需结合投标人在已建成其它充电站的售后服务情况)</w:t>
            </w:r>
            <w:r w:rsidR="008233C8" w:rsidRPr="00064B63">
              <w:rPr>
                <w:rFonts w:ascii="宋体" w:eastAsia="宋体" w:hAnsi="宋体" w:cs="宋体"/>
                <w:szCs w:val="21"/>
              </w:rPr>
              <w:t xml:space="preserve"> </w:t>
            </w:r>
          </w:p>
          <w:p w:rsidR="008233C8" w:rsidRPr="00064B63" w:rsidRDefault="008233C8" w:rsidP="008233C8">
            <w:pPr>
              <w:widowControl/>
              <w:jc w:val="left"/>
              <w:rPr>
                <w:rFonts w:ascii="宋体" w:eastAsia="宋体" w:hAnsi="宋体" w:cs="宋体"/>
                <w:szCs w:val="21"/>
              </w:rPr>
            </w:pPr>
            <w:r>
              <w:rPr>
                <w:rFonts w:ascii="宋体" w:eastAsia="宋体" w:hAnsi="宋体" w:cs="宋体" w:hint="eastAsia"/>
                <w:szCs w:val="21"/>
              </w:rPr>
              <w:t>此项共计10分，</w:t>
            </w:r>
            <w:r w:rsidRPr="009D31BC">
              <w:rPr>
                <w:rFonts w:ascii="宋体" w:eastAsia="宋体" w:hAnsi="宋体" w:cs="宋体"/>
                <w:szCs w:val="21"/>
              </w:rPr>
              <w:t>每提供1小项得</w:t>
            </w:r>
            <w:r>
              <w:rPr>
                <w:rFonts w:ascii="宋体" w:eastAsia="宋体" w:hAnsi="宋体" w:cs="宋体" w:hint="eastAsia"/>
                <w:szCs w:val="21"/>
              </w:rPr>
              <w:t>2.5</w:t>
            </w:r>
            <w:r w:rsidRPr="009D31BC">
              <w:rPr>
                <w:rFonts w:ascii="宋体" w:eastAsia="宋体" w:hAnsi="宋体" w:cs="宋体" w:hint="eastAsia"/>
                <w:szCs w:val="21"/>
              </w:rPr>
              <w:t>分</w:t>
            </w:r>
            <w:r>
              <w:rPr>
                <w:rFonts w:ascii="宋体" w:eastAsia="宋体" w:hAnsi="宋体" w:cs="宋体" w:hint="eastAsia"/>
                <w:szCs w:val="21"/>
              </w:rPr>
              <w:t>.</w:t>
            </w:r>
          </w:p>
        </w:tc>
      </w:tr>
      <w:tr w:rsidR="00064B63" w:rsidRPr="00064B63" w:rsidTr="00667E3E">
        <w:tc>
          <w:tcPr>
            <w:tcW w:w="751" w:type="dxa"/>
            <w:vMerge/>
            <w:vAlign w:val="center"/>
          </w:tcPr>
          <w:p w:rsidR="00064B63" w:rsidRPr="00064B63" w:rsidRDefault="00064B63" w:rsidP="00064B63">
            <w:pPr>
              <w:widowControl/>
              <w:adjustRightInd w:val="0"/>
              <w:snapToGrid w:val="0"/>
              <w:jc w:val="left"/>
              <w:rPr>
                <w:rFonts w:ascii="宋体" w:eastAsia="宋体" w:hAnsi="宋体" w:cs="宋体"/>
                <w:color w:val="000000"/>
                <w:szCs w:val="21"/>
              </w:rPr>
            </w:pPr>
          </w:p>
        </w:tc>
        <w:tc>
          <w:tcPr>
            <w:tcW w:w="1133" w:type="dxa"/>
            <w:vAlign w:val="center"/>
          </w:tcPr>
          <w:p w:rsidR="00064B63" w:rsidRPr="00064B63" w:rsidRDefault="00064B63" w:rsidP="00064B63">
            <w:pPr>
              <w:widowControl/>
              <w:kinsoku w:val="0"/>
              <w:autoSpaceDE w:val="0"/>
              <w:autoSpaceDN w:val="0"/>
              <w:adjustRightInd w:val="0"/>
              <w:snapToGrid w:val="0"/>
              <w:jc w:val="center"/>
              <w:textAlignment w:val="center"/>
              <w:rPr>
                <w:rFonts w:ascii="宋体" w:eastAsia="宋体" w:hAnsi="宋体" w:cs="宋体"/>
                <w:szCs w:val="21"/>
              </w:rPr>
            </w:pPr>
            <w:r w:rsidRPr="00064B63">
              <w:rPr>
                <w:rFonts w:ascii="宋体" w:eastAsia="宋体" w:hAnsi="宋体" w:cs="宋体" w:hint="eastAsia"/>
                <w:szCs w:val="21"/>
              </w:rPr>
              <w:t>运</w:t>
            </w:r>
            <w:proofErr w:type="gramStart"/>
            <w:r w:rsidRPr="00064B63">
              <w:rPr>
                <w:rFonts w:ascii="宋体" w:eastAsia="宋体" w:hAnsi="宋体" w:cs="宋体" w:hint="eastAsia"/>
                <w:szCs w:val="21"/>
              </w:rPr>
              <w:t>维技术</w:t>
            </w:r>
            <w:proofErr w:type="gramEnd"/>
            <w:r w:rsidRPr="00064B63">
              <w:rPr>
                <w:rFonts w:ascii="宋体" w:eastAsia="宋体" w:hAnsi="宋体" w:cs="宋体" w:hint="eastAsia"/>
                <w:szCs w:val="21"/>
              </w:rPr>
              <w:t>方案</w:t>
            </w:r>
          </w:p>
          <w:p w:rsidR="00064B63" w:rsidRPr="00064B63" w:rsidRDefault="00064B63" w:rsidP="00064B63">
            <w:pPr>
              <w:widowControl/>
              <w:kinsoku w:val="0"/>
              <w:autoSpaceDE w:val="0"/>
              <w:autoSpaceDN w:val="0"/>
              <w:adjustRightInd w:val="0"/>
              <w:snapToGrid w:val="0"/>
              <w:jc w:val="center"/>
              <w:textAlignment w:val="center"/>
              <w:rPr>
                <w:rFonts w:ascii="宋体" w:eastAsia="宋体" w:hAnsi="宋体" w:cs="宋体"/>
                <w:color w:val="000000"/>
                <w:szCs w:val="21"/>
              </w:rPr>
            </w:pPr>
            <w:r w:rsidRPr="00064B63">
              <w:rPr>
                <w:rFonts w:ascii="宋体" w:eastAsia="宋体" w:hAnsi="宋体" w:cs="宋体" w:hint="eastAsia"/>
                <w:szCs w:val="21"/>
              </w:rPr>
              <w:t>10分</w:t>
            </w:r>
          </w:p>
        </w:tc>
        <w:tc>
          <w:tcPr>
            <w:tcW w:w="7418" w:type="dxa"/>
            <w:gridSpan w:val="2"/>
            <w:vAlign w:val="center"/>
          </w:tcPr>
          <w:p w:rsidR="00064B63" w:rsidRPr="00064B63" w:rsidRDefault="008233C8" w:rsidP="00064B63">
            <w:pPr>
              <w:widowControl/>
              <w:kinsoku w:val="0"/>
              <w:autoSpaceDE w:val="0"/>
              <w:autoSpaceDN w:val="0"/>
              <w:adjustRightInd w:val="0"/>
              <w:snapToGrid w:val="0"/>
              <w:jc w:val="left"/>
              <w:textAlignment w:val="center"/>
              <w:rPr>
                <w:rFonts w:ascii="宋体" w:eastAsia="宋体" w:hAnsi="宋体" w:cs="宋体"/>
                <w:szCs w:val="21"/>
              </w:rPr>
            </w:pPr>
            <w:r>
              <w:rPr>
                <w:rFonts w:ascii="宋体" w:eastAsia="宋体" w:hAnsi="宋体" w:cs="宋体" w:hint="eastAsia"/>
                <w:szCs w:val="21"/>
              </w:rPr>
              <w:t>1、</w:t>
            </w:r>
            <w:r w:rsidR="00064B63" w:rsidRPr="00064B63">
              <w:rPr>
                <w:rFonts w:ascii="宋体" w:eastAsia="宋体" w:hAnsi="宋体" w:cs="宋体" w:hint="eastAsia"/>
                <w:szCs w:val="21"/>
              </w:rPr>
              <w:t>根据运维服务要求提供服务措施，</w:t>
            </w:r>
            <w:r>
              <w:rPr>
                <w:rFonts w:ascii="宋体" w:eastAsia="宋体" w:hAnsi="宋体" w:cs="宋体" w:hint="eastAsia"/>
                <w:szCs w:val="21"/>
              </w:rPr>
              <w:t>2、</w:t>
            </w:r>
            <w:r w:rsidR="00064B63" w:rsidRPr="00064B63">
              <w:rPr>
                <w:rFonts w:ascii="宋体" w:eastAsia="宋体" w:hAnsi="宋体" w:cs="宋体" w:hint="eastAsia"/>
                <w:szCs w:val="21"/>
              </w:rPr>
              <w:t>具有售后服务运维</w:t>
            </w:r>
            <w:proofErr w:type="gramStart"/>
            <w:r w:rsidR="00064B63" w:rsidRPr="00064B63">
              <w:rPr>
                <w:rFonts w:ascii="宋体" w:eastAsia="宋体" w:hAnsi="宋体" w:cs="宋体" w:hint="eastAsia"/>
                <w:szCs w:val="21"/>
              </w:rPr>
              <w:t>维</w:t>
            </w:r>
            <w:proofErr w:type="gramEnd"/>
            <w:r w:rsidR="00064B63" w:rsidRPr="00064B63">
              <w:rPr>
                <w:rFonts w:ascii="宋体" w:eastAsia="宋体" w:hAnsi="宋体" w:cs="宋体" w:hint="eastAsia"/>
                <w:szCs w:val="21"/>
              </w:rPr>
              <w:t>保能力，</w:t>
            </w:r>
            <w:r>
              <w:rPr>
                <w:rFonts w:ascii="宋体" w:eastAsia="宋体" w:hAnsi="宋体" w:cs="宋体" w:hint="eastAsia"/>
                <w:szCs w:val="21"/>
              </w:rPr>
              <w:t>3、</w:t>
            </w:r>
            <w:r w:rsidR="00064B63" w:rsidRPr="00064B63">
              <w:rPr>
                <w:rFonts w:ascii="宋体" w:eastAsia="宋体" w:hAnsi="宋体" w:cs="宋体" w:hint="eastAsia"/>
                <w:szCs w:val="21"/>
              </w:rPr>
              <w:t>对发生的突发事件的处理方案。</w:t>
            </w:r>
          </w:p>
          <w:p w:rsidR="00064B63" w:rsidRPr="00064B63" w:rsidRDefault="008233C8" w:rsidP="00273BA9">
            <w:pPr>
              <w:widowControl/>
              <w:kinsoku w:val="0"/>
              <w:autoSpaceDE w:val="0"/>
              <w:autoSpaceDN w:val="0"/>
              <w:adjustRightInd w:val="0"/>
              <w:snapToGrid w:val="0"/>
              <w:jc w:val="left"/>
              <w:textAlignment w:val="center"/>
              <w:rPr>
                <w:rFonts w:ascii="宋体" w:eastAsia="宋体" w:hAnsi="宋体" w:cs="宋体"/>
                <w:szCs w:val="21"/>
              </w:rPr>
            </w:pPr>
            <w:r>
              <w:rPr>
                <w:rFonts w:ascii="宋体" w:eastAsia="宋体" w:hAnsi="宋体" w:cs="宋体" w:hint="eastAsia"/>
                <w:szCs w:val="21"/>
              </w:rPr>
              <w:t>此项共计10分，</w:t>
            </w:r>
            <w:r w:rsidR="00273BA9">
              <w:rPr>
                <w:rFonts w:ascii="宋体" w:eastAsia="宋体" w:hAnsi="宋体" w:cs="宋体" w:hint="eastAsia"/>
                <w:szCs w:val="21"/>
              </w:rPr>
              <w:t>第1、2项各</w:t>
            </w:r>
            <w:r w:rsidR="00273BA9" w:rsidRPr="009D31BC">
              <w:rPr>
                <w:rFonts w:ascii="宋体" w:eastAsia="宋体" w:hAnsi="宋体" w:cs="宋体"/>
                <w:szCs w:val="21"/>
              </w:rPr>
              <w:t>每提供1小项得</w:t>
            </w:r>
            <w:r w:rsidR="00273BA9">
              <w:rPr>
                <w:rFonts w:ascii="宋体" w:eastAsia="宋体" w:hAnsi="宋体" w:cs="宋体" w:hint="eastAsia"/>
                <w:szCs w:val="21"/>
              </w:rPr>
              <w:t>2.5</w:t>
            </w:r>
            <w:r w:rsidR="00273BA9" w:rsidRPr="009D31BC">
              <w:rPr>
                <w:rFonts w:ascii="宋体" w:eastAsia="宋体" w:hAnsi="宋体" w:cs="宋体" w:hint="eastAsia"/>
                <w:szCs w:val="21"/>
              </w:rPr>
              <w:t>分</w:t>
            </w:r>
            <w:r w:rsidR="00273BA9">
              <w:rPr>
                <w:rFonts w:ascii="宋体" w:eastAsia="宋体" w:hAnsi="宋体" w:cs="宋体" w:hint="eastAsia"/>
                <w:szCs w:val="21"/>
              </w:rPr>
              <w:t>，</w:t>
            </w:r>
            <w:r w:rsidR="00273BA9" w:rsidRPr="009D31BC">
              <w:rPr>
                <w:rFonts w:ascii="宋体" w:eastAsia="宋体" w:hAnsi="宋体" w:cs="宋体"/>
                <w:szCs w:val="21"/>
              </w:rPr>
              <w:t>提供</w:t>
            </w:r>
            <w:r w:rsidR="00273BA9">
              <w:rPr>
                <w:rFonts w:ascii="宋体" w:eastAsia="宋体" w:hAnsi="宋体" w:cs="宋体" w:hint="eastAsia"/>
                <w:szCs w:val="21"/>
              </w:rPr>
              <w:t>第3项</w:t>
            </w:r>
            <w:r w:rsidR="00273BA9" w:rsidRPr="009D31BC">
              <w:rPr>
                <w:rFonts w:ascii="宋体" w:eastAsia="宋体" w:hAnsi="宋体" w:cs="宋体"/>
                <w:szCs w:val="21"/>
              </w:rPr>
              <w:t>得</w:t>
            </w:r>
            <w:r w:rsidR="00273BA9">
              <w:rPr>
                <w:rFonts w:ascii="宋体" w:eastAsia="宋体" w:hAnsi="宋体" w:cs="宋体" w:hint="eastAsia"/>
                <w:szCs w:val="21"/>
              </w:rPr>
              <w:t>5</w:t>
            </w:r>
            <w:r w:rsidR="00273BA9" w:rsidRPr="009D31BC">
              <w:rPr>
                <w:rFonts w:ascii="宋体" w:eastAsia="宋体" w:hAnsi="宋体" w:cs="宋体" w:hint="eastAsia"/>
                <w:szCs w:val="21"/>
              </w:rPr>
              <w:t>分</w:t>
            </w:r>
            <w:r>
              <w:rPr>
                <w:rFonts w:ascii="宋体" w:eastAsia="宋体" w:hAnsi="宋体" w:cs="宋体" w:hint="eastAsia"/>
                <w:szCs w:val="21"/>
              </w:rPr>
              <w:t>.</w:t>
            </w:r>
          </w:p>
        </w:tc>
      </w:tr>
      <w:tr w:rsidR="00667E3E" w:rsidRPr="00064B63" w:rsidTr="00667E3E">
        <w:trPr>
          <w:trHeight w:val="975"/>
        </w:trPr>
        <w:tc>
          <w:tcPr>
            <w:tcW w:w="751" w:type="dxa"/>
            <w:vAlign w:val="center"/>
          </w:tcPr>
          <w:p w:rsidR="00667E3E" w:rsidRPr="000D776A" w:rsidRDefault="00667E3E" w:rsidP="00667E3E">
            <w:pPr>
              <w:spacing w:line="500" w:lineRule="exact"/>
              <w:jc w:val="center"/>
              <w:rPr>
                <w:rFonts w:ascii="宋体" w:eastAsia="宋体" w:hAnsi="宋体" w:cs="宋体"/>
                <w:szCs w:val="21"/>
              </w:rPr>
            </w:pPr>
            <w:r w:rsidRPr="000D776A">
              <w:rPr>
                <w:rFonts w:ascii="宋体" w:eastAsia="宋体" w:hAnsi="宋体" w:cs="宋体" w:hint="eastAsia"/>
                <w:szCs w:val="21"/>
              </w:rPr>
              <w:t>价格分（20分）</w:t>
            </w:r>
          </w:p>
        </w:tc>
        <w:tc>
          <w:tcPr>
            <w:tcW w:w="1133" w:type="dxa"/>
            <w:vAlign w:val="center"/>
          </w:tcPr>
          <w:p w:rsidR="00667E3E" w:rsidRPr="000D776A" w:rsidRDefault="00667E3E" w:rsidP="000D776A">
            <w:pPr>
              <w:spacing w:line="500" w:lineRule="exact"/>
              <w:ind w:firstLineChars="50" w:firstLine="105"/>
              <w:rPr>
                <w:rFonts w:ascii="宋体" w:eastAsia="宋体" w:hAnsi="宋体" w:cs="宋体"/>
                <w:szCs w:val="21"/>
              </w:rPr>
            </w:pPr>
            <w:r w:rsidRPr="000D776A">
              <w:rPr>
                <w:rFonts w:ascii="宋体" w:eastAsia="宋体" w:hAnsi="宋体" w:cs="宋体" w:hint="eastAsia"/>
                <w:szCs w:val="21"/>
              </w:rPr>
              <w:t>价格分</w:t>
            </w:r>
          </w:p>
          <w:p w:rsidR="00667E3E" w:rsidRPr="000D776A" w:rsidRDefault="00667E3E" w:rsidP="000D776A">
            <w:pPr>
              <w:spacing w:line="500" w:lineRule="exact"/>
              <w:ind w:firstLineChars="50" w:firstLine="105"/>
              <w:jc w:val="center"/>
              <w:rPr>
                <w:rFonts w:ascii="宋体" w:eastAsia="宋体" w:hAnsi="宋体" w:cs="宋体"/>
                <w:szCs w:val="21"/>
              </w:rPr>
            </w:pPr>
            <w:r w:rsidRPr="000D776A">
              <w:rPr>
                <w:rFonts w:ascii="宋体" w:eastAsia="宋体" w:hAnsi="宋体" w:cs="宋体" w:hint="eastAsia"/>
                <w:szCs w:val="21"/>
              </w:rPr>
              <w:t>（20分）</w:t>
            </w:r>
          </w:p>
        </w:tc>
        <w:tc>
          <w:tcPr>
            <w:tcW w:w="7418" w:type="dxa"/>
            <w:gridSpan w:val="2"/>
          </w:tcPr>
          <w:p w:rsidR="00667E3E" w:rsidRPr="00273BA9" w:rsidRDefault="00667E3E" w:rsidP="009D31BC">
            <w:pPr>
              <w:spacing w:line="500" w:lineRule="exact"/>
              <w:jc w:val="left"/>
              <w:rPr>
                <w:rFonts w:ascii="宋体" w:eastAsia="宋体" w:hAnsi="宋体" w:cs="宋体"/>
                <w:szCs w:val="21"/>
              </w:rPr>
            </w:pPr>
            <w:proofErr w:type="gramStart"/>
            <w:r w:rsidRPr="00273BA9">
              <w:rPr>
                <w:rFonts w:ascii="宋体" w:eastAsia="宋体" w:hAnsi="宋体" w:cs="宋体" w:hint="eastAsia"/>
                <w:szCs w:val="21"/>
              </w:rPr>
              <w:t>价格标经评审</w:t>
            </w:r>
            <w:proofErr w:type="gramEnd"/>
            <w:r w:rsidRPr="00273BA9">
              <w:rPr>
                <w:rFonts w:ascii="宋体" w:eastAsia="宋体" w:hAnsi="宋体" w:cs="宋体" w:hint="eastAsia"/>
                <w:szCs w:val="21"/>
              </w:rPr>
              <w:t>满足本文件要求的投标人的总报价中，最低价格为评标基准价格，得满分；其他投标人的价格</w:t>
            </w:r>
            <w:proofErr w:type="gramStart"/>
            <w:r w:rsidRPr="00273BA9">
              <w:rPr>
                <w:rFonts w:ascii="宋体" w:eastAsia="宋体" w:hAnsi="宋体" w:cs="宋体" w:hint="eastAsia"/>
                <w:szCs w:val="21"/>
              </w:rPr>
              <w:t>分统一</w:t>
            </w:r>
            <w:proofErr w:type="gramEnd"/>
            <w:r w:rsidRPr="00273BA9">
              <w:rPr>
                <w:rFonts w:ascii="宋体" w:eastAsia="宋体" w:hAnsi="宋体" w:cs="宋体" w:hint="eastAsia"/>
                <w:szCs w:val="21"/>
              </w:rPr>
              <w:t xml:space="preserve">按照下列公式计算： </w:t>
            </w:r>
          </w:p>
          <w:p w:rsidR="00667E3E" w:rsidRDefault="00667E3E" w:rsidP="009D31BC">
            <w:pPr>
              <w:spacing w:line="500" w:lineRule="exact"/>
              <w:jc w:val="left"/>
              <w:rPr>
                <w:rFonts w:ascii="宋体" w:eastAsia="宋体" w:hAnsi="宋体" w:cs="宋体"/>
                <w:sz w:val="24"/>
                <w:szCs w:val="24"/>
              </w:rPr>
            </w:pPr>
            <w:r w:rsidRPr="00273BA9">
              <w:rPr>
                <w:rFonts w:ascii="宋体" w:eastAsia="宋体" w:hAnsi="宋体" w:cs="宋体" w:hint="eastAsia"/>
                <w:szCs w:val="21"/>
              </w:rPr>
              <w:t>投标报价得分＝（评标基准价/投标报价）× 价格分分值（取小数点后两位）。</w:t>
            </w:r>
          </w:p>
        </w:tc>
      </w:tr>
    </w:tbl>
    <w:p w:rsidR="00064B63" w:rsidRPr="00064B63" w:rsidRDefault="00064B63" w:rsidP="00064B63">
      <w:pPr>
        <w:ind w:firstLineChars="200" w:firstLine="640"/>
        <w:rPr>
          <w:rFonts w:ascii="仿宋" w:eastAsia="仿宋" w:hAnsi="仿宋" w:cs="宋体"/>
          <w:sz w:val="32"/>
          <w:szCs w:val="32"/>
          <w:highlight w:val="yellow"/>
        </w:rPr>
      </w:pPr>
      <w:r>
        <w:rPr>
          <w:rFonts w:ascii="仿宋" w:eastAsia="仿宋" w:hAnsi="仿宋" w:cs="宋体" w:hint="eastAsia"/>
          <w:sz w:val="32"/>
          <w:szCs w:val="32"/>
        </w:rPr>
        <w:t>三、</w:t>
      </w:r>
      <w:r w:rsidRPr="00064B63">
        <w:rPr>
          <w:rFonts w:ascii="仿宋" w:eastAsia="仿宋" w:hAnsi="仿宋" w:cs="宋体" w:hint="eastAsia"/>
          <w:sz w:val="32"/>
          <w:szCs w:val="32"/>
        </w:rPr>
        <w:t>技术标准及要求</w:t>
      </w:r>
      <w:bookmarkEnd w:id="0"/>
    </w:p>
    <w:p w:rsidR="00064B63" w:rsidRPr="00064B63" w:rsidRDefault="00064B63" w:rsidP="00064B63">
      <w:pPr>
        <w:keepNext/>
        <w:keepLines/>
        <w:numPr>
          <w:ilvl w:val="1"/>
          <w:numId w:val="9"/>
        </w:numPr>
        <w:spacing w:line="360" w:lineRule="auto"/>
        <w:outlineLvl w:val="1"/>
        <w:rPr>
          <w:rFonts w:ascii="宋体" w:eastAsia="宋体" w:hAnsi="宋体" w:cs="宋体"/>
          <w:szCs w:val="21"/>
        </w:rPr>
      </w:pPr>
      <w:r w:rsidRPr="00064B63">
        <w:rPr>
          <w:rFonts w:ascii="宋体" w:eastAsia="宋体" w:hAnsi="宋体" w:cs="宋体" w:hint="eastAsia"/>
          <w:szCs w:val="21"/>
        </w:rPr>
        <w:lastRenderedPageBreak/>
        <w:t>国标主要标准</w:t>
      </w:r>
    </w:p>
    <w:tbl>
      <w:tblPr>
        <w:tblStyle w:val="af1"/>
        <w:tblW w:w="8665" w:type="dxa"/>
        <w:jc w:val="center"/>
        <w:tblLook w:val="0000"/>
      </w:tblPr>
      <w:tblGrid>
        <w:gridCol w:w="1901"/>
        <w:gridCol w:w="6764"/>
      </w:tblGrid>
      <w:tr w:rsidR="00064B63" w:rsidRPr="00064B63" w:rsidTr="00064B63">
        <w:trPr>
          <w:cantSplit/>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b/>
                <w:bCs/>
                <w:sz w:val="18"/>
                <w:szCs w:val="18"/>
              </w:rPr>
            </w:pPr>
            <w:bookmarkStart w:id="1" w:name="_Toc351107787"/>
            <w:bookmarkStart w:id="2" w:name="_Toc351107502"/>
            <w:bookmarkStart w:id="3" w:name="_Toc351107605"/>
            <w:bookmarkStart w:id="4" w:name="_Toc253150285"/>
            <w:bookmarkStart w:id="5" w:name="_Toc428997264"/>
            <w:bookmarkStart w:id="6" w:name="_Toc387646167"/>
            <w:bookmarkStart w:id="7" w:name="_Toc255074821"/>
            <w:bookmarkStart w:id="8" w:name="_Toc411176403"/>
            <w:r w:rsidRPr="00064B63">
              <w:rPr>
                <w:rFonts w:ascii="宋体" w:hAnsi="宋体" w:cs="宋体" w:hint="eastAsia"/>
                <w:b/>
                <w:bCs/>
                <w:sz w:val="18"/>
                <w:szCs w:val="18"/>
              </w:rPr>
              <w:t>标   准   号</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b/>
                <w:bCs/>
                <w:sz w:val="18"/>
                <w:szCs w:val="18"/>
              </w:rPr>
            </w:pPr>
            <w:r w:rsidRPr="00064B63">
              <w:rPr>
                <w:rFonts w:ascii="宋体" w:hAnsi="宋体" w:cs="宋体" w:hint="eastAsia"/>
                <w:b/>
                <w:bCs/>
                <w:sz w:val="18"/>
                <w:szCs w:val="18"/>
              </w:rPr>
              <w:t>标  准  名  称</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18487.1-2015</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电动车辆传导充电系统 第1部分：通用要求</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18487.1-2023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电动车辆传导充电系统 第1部分：通用要求</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18487.2-2017</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电动汽车传导充电系统　第2部分：非车载传导供电设备电磁兼容要求</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27930-2023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非车载传导式充电机与电动汽车之间的数字通信协议</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20234.1-2023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电动汽车传导充电用连接装置 第1部分：通用要求</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20234.3-2023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电动汽车传导充电用连接装置 第3部分：直流充电接口</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20234.4-2023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电动汽车传导充电用连接装置 第4部分大功率直流充电接口</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NB/T 33001-2018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电动汽车非车载传导式充电机技术条件</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NB/T 33008.1-2018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电动汽车充电设备检验试验规范 第1部分：非车载充电机</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JJG 1149-2022</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电动汽车非车载充电机(试行)</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2423.1-2008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电工电子产品环境试验　第2部分：试验方法　试验A：低温</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2423.2-2008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电工电子产品环境试验　第2部分：试验方法　试验B：高温</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2423.3-2006</w:t>
            </w:r>
          </w:p>
        </w:tc>
        <w:tc>
          <w:tcPr>
            <w:tcW w:w="6764" w:type="dxa"/>
            <w:tcBorders>
              <w:top w:val="single" w:sz="4" w:space="0" w:color="auto"/>
              <w:left w:val="single" w:sz="4" w:space="0" w:color="auto"/>
              <w:bottom w:val="single" w:sz="4" w:space="0" w:color="auto"/>
              <w:right w:val="single" w:sz="4" w:space="0" w:color="auto"/>
            </w:tcBorders>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电工电子产品环境试验  第2部分：试验方法 试验Cab：恒定湿热试验</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2423.4-2008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电工电子产品环境试验　第2部分：试验方法　试验Db：交变湿热（12h+12h循环）</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2423.17-2024</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环境试验 第2部分：试验方法 试验Ka：盐雾</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2423.55-2023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环境试验 第2部分：试验方法 试验Eh：锤击试验</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4208-2017</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外壳防护等级（IP代码）</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4797.5-2017</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环境条件分类 自然环境条件 降水和风</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13384-2008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机电产品包装通用技术条件</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13422-2013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半导体电力变流器 电气试验方法</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 17625.1-2016</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电磁兼容限值　波电流发射限值（</w:t>
            </w:r>
            <w:proofErr w:type="gramStart"/>
            <w:r w:rsidRPr="00064B63">
              <w:rPr>
                <w:rFonts w:ascii="宋体" w:hAnsi="宋体" w:cs="宋体" w:hint="eastAsia"/>
                <w:sz w:val="18"/>
                <w:szCs w:val="18"/>
              </w:rPr>
              <w:t>设备每相输入</w:t>
            </w:r>
            <w:proofErr w:type="gramEnd"/>
            <w:r w:rsidRPr="00064B63">
              <w:rPr>
                <w:rFonts w:ascii="宋体" w:hAnsi="宋体" w:cs="宋体" w:hint="eastAsia"/>
                <w:sz w:val="18"/>
                <w:szCs w:val="18"/>
              </w:rPr>
              <w:t>电流≤16 A）</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GB/Z 17625.6-2016</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电磁兼容限值对额定电流大于16 A的设备在低压供电系统中产生的谐波电流的限制</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17626.2-2018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电磁兼容试验和测量技术 静电放电抗扰度试验</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17626.3-2016</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电磁兼容　试验和测量技术　射频电磁场辐射抗扰度试验</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17626.4-2018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电磁兼容　试验和测量技术　电快速瞬变脉冲群抗扰度试验</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17626.5-2019</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电磁兼容　试验和测量技术　浪涌(冲击)抗扰度试验</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17626.11-2023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电磁兼容 试验和测量技术 第11部分：</w:t>
            </w:r>
            <w:proofErr w:type="gramStart"/>
            <w:r w:rsidRPr="00064B63">
              <w:rPr>
                <w:rFonts w:ascii="宋体" w:hAnsi="宋体" w:cs="宋体" w:hint="eastAsia"/>
                <w:sz w:val="18"/>
                <w:szCs w:val="18"/>
              </w:rPr>
              <w:t>对每相输入</w:t>
            </w:r>
            <w:proofErr w:type="gramEnd"/>
            <w:r w:rsidRPr="00064B63">
              <w:rPr>
                <w:rFonts w:ascii="宋体" w:hAnsi="宋体" w:cs="宋体" w:hint="eastAsia"/>
                <w:sz w:val="18"/>
                <w:szCs w:val="18"/>
              </w:rPr>
              <w:t>电流小于或等于16 A设备的电压暂降、短时中断和电压变化抗扰度试验</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19826-2014</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电力工程直流电源设备通用技术条件及安全要求</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29317-2012</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w:t>
            </w:r>
            <w:proofErr w:type="gramStart"/>
            <w:r w:rsidRPr="00064B63">
              <w:rPr>
                <w:rFonts w:ascii="宋体" w:hAnsi="宋体" w:cs="宋体" w:hint="eastAsia"/>
                <w:sz w:val="18"/>
                <w:szCs w:val="18"/>
              </w:rPr>
              <w:t>充换电</w:t>
            </w:r>
            <w:proofErr w:type="gramEnd"/>
            <w:r w:rsidRPr="00064B63">
              <w:rPr>
                <w:rFonts w:ascii="宋体" w:hAnsi="宋体" w:cs="宋体" w:hint="eastAsia"/>
                <w:sz w:val="18"/>
                <w:szCs w:val="18"/>
              </w:rPr>
              <w:t>设施术语</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29316-2012</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w:t>
            </w:r>
            <w:proofErr w:type="gramStart"/>
            <w:r w:rsidRPr="00064B63">
              <w:rPr>
                <w:rFonts w:ascii="宋体" w:hAnsi="宋体" w:cs="宋体" w:hint="eastAsia"/>
                <w:sz w:val="18"/>
                <w:szCs w:val="18"/>
              </w:rPr>
              <w:t>充换电</w:t>
            </w:r>
            <w:proofErr w:type="gramEnd"/>
            <w:r w:rsidRPr="00064B63">
              <w:rPr>
                <w:rFonts w:ascii="宋体" w:hAnsi="宋体" w:cs="宋体" w:hint="eastAsia"/>
                <w:sz w:val="18"/>
                <w:szCs w:val="18"/>
              </w:rPr>
              <w:t>设施电能质量技术要求</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33708-2017</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静止式直流电能表</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Q/GDW 1825-2013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直流电能表技术规范</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JJG 842-2017</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电子式直流电能表检定规程</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29318-2012</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电动汽车非车载充电</w:t>
            </w:r>
            <w:proofErr w:type="gramStart"/>
            <w:r w:rsidRPr="00064B63">
              <w:rPr>
                <w:rFonts w:ascii="宋体" w:hAnsi="宋体" w:cs="宋体" w:hint="eastAsia"/>
                <w:sz w:val="18"/>
                <w:szCs w:val="18"/>
              </w:rPr>
              <w:t>机电能</w:t>
            </w:r>
            <w:proofErr w:type="gramEnd"/>
            <w:r w:rsidRPr="00064B63">
              <w:rPr>
                <w:rFonts w:ascii="宋体" w:hAnsi="宋体" w:cs="宋体" w:hint="eastAsia"/>
                <w:sz w:val="18"/>
                <w:szCs w:val="18"/>
              </w:rPr>
              <w:t>计量</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Q/GDW 1354-2013</w:t>
            </w:r>
          </w:p>
        </w:tc>
        <w:tc>
          <w:tcPr>
            <w:tcW w:w="6764" w:type="dxa"/>
            <w:tcBorders>
              <w:top w:val="single" w:sz="4" w:space="0" w:color="auto"/>
              <w:left w:val="single" w:sz="4" w:space="0" w:color="auto"/>
              <w:bottom w:val="single" w:sz="4" w:space="0" w:color="auto"/>
              <w:right w:val="single" w:sz="4" w:space="0" w:color="auto"/>
            </w:tcBorders>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智能电能表功能规范</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Q/GDW 1364-2013</w:t>
            </w:r>
          </w:p>
        </w:tc>
        <w:tc>
          <w:tcPr>
            <w:tcW w:w="6764" w:type="dxa"/>
            <w:tcBorders>
              <w:top w:val="single" w:sz="4" w:space="0" w:color="auto"/>
              <w:left w:val="single" w:sz="4" w:space="0" w:color="auto"/>
              <w:bottom w:val="single" w:sz="4" w:space="0" w:color="auto"/>
              <w:right w:val="single" w:sz="4" w:space="0" w:color="auto"/>
            </w:tcBorders>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单相智能电能表技术规范</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JJG 1069-2011</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直流分流器检定规程</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DL/T 645-2007</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多功能电能表通信协议</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50966-2024</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电动汽车充电站设计标准</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lastRenderedPageBreak/>
              <w:t>GB/T 51313-2018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电动汽车分散充电设施工程技术标准</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34658-2017</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电动汽车非车载传导式充电机与电池管理系统之间的通信协议一致性测试</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34657-2017</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电动汽车传导充电互操作性测试规范 第1 部分：供电设备</w:t>
            </w:r>
          </w:p>
        </w:tc>
      </w:tr>
    </w:tbl>
    <w:bookmarkEnd w:id="1"/>
    <w:bookmarkEnd w:id="2"/>
    <w:bookmarkEnd w:id="3"/>
    <w:bookmarkEnd w:id="4"/>
    <w:bookmarkEnd w:id="5"/>
    <w:bookmarkEnd w:id="6"/>
    <w:bookmarkEnd w:id="7"/>
    <w:bookmarkEnd w:id="8"/>
    <w:p w:rsidR="00064B63" w:rsidRPr="00064B63" w:rsidRDefault="00064B63" w:rsidP="00064B63">
      <w:pPr>
        <w:rPr>
          <w:rFonts w:ascii="Calibri" w:eastAsia="宋体" w:hAnsi="Calibri" w:cs="Times New Roman"/>
          <w:szCs w:val="24"/>
        </w:rPr>
      </w:pPr>
      <w:r w:rsidRPr="00064B63">
        <w:rPr>
          <w:rFonts w:ascii="Calibri" w:eastAsia="宋体" w:hAnsi="Calibri" w:cs="Times New Roman" w:hint="eastAsia"/>
          <w:szCs w:val="24"/>
        </w:rPr>
        <w:t>如国标要求有更新，按最新的执行。</w:t>
      </w:r>
    </w:p>
    <w:p w:rsidR="00064B63" w:rsidRPr="00064B63" w:rsidRDefault="00064B63" w:rsidP="00064B63">
      <w:pPr>
        <w:keepNext/>
        <w:keepLines/>
        <w:numPr>
          <w:ilvl w:val="1"/>
          <w:numId w:val="9"/>
        </w:numPr>
        <w:spacing w:line="360" w:lineRule="auto"/>
        <w:outlineLvl w:val="1"/>
        <w:rPr>
          <w:rFonts w:ascii="宋体" w:eastAsia="宋体" w:hAnsi="宋体" w:cs="宋体"/>
          <w:szCs w:val="21"/>
        </w:rPr>
      </w:pPr>
      <w:proofErr w:type="gramStart"/>
      <w:r w:rsidRPr="00064B63">
        <w:rPr>
          <w:rFonts w:ascii="宋体" w:eastAsia="宋体" w:hAnsi="宋体" w:cs="宋体" w:hint="eastAsia"/>
          <w:szCs w:val="21"/>
        </w:rPr>
        <w:t>一</w:t>
      </w:r>
      <w:proofErr w:type="gramEnd"/>
      <w:r w:rsidRPr="00064B63">
        <w:rPr>
          <w:rFonts w:ascii="宋体" w:eastAsia="宋体" w:hAnsi="宋体" w:cs="宋体" w:hint="eastAsia"/>
          <w:szCs w:val="21"/>
        </w:rPr>
        <w:t>体式直流充电机通用技术要求</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t>技术参数</w:t>
      </w:r>
    </w:p>
    <w:p w:rsidR="00064B63" w:rsidRPr="00064B63" w:rsidRDefault="00064B63" w:rsidP="00064B63">
      <w:pPr>
        <w:keepNext/>
        <w:keepLines/>
        <w:numPr>
          <w:ilvl w:val="3"/>
          <w:numId w:val="10"/>
        </w:numPr>
        <w:spacing w:line="360" w:lineRule="auto"/>
        <w:outlineLvl w:val="3"/>
        <w:rPr>
          <w:rFonts w:ascii="宋体" w:eastAsia="宋体" w:hAnsi="宋体" w:cs="宋体"/>
          <w:b/>
          <w:bCs/>
          <w:szCs w:val="21"/>
        </w:rPr>
      </w:pPr>
      <w:r w:rsidRPr="00064B63">
        <w:rPr>
          <w:rFonts w:ascii="宋体" w:eastAsia="宋体" w:hAnsi="宋体" w:cs="宋体" w:hint="eastAsia"/>
          <w:b/>
          <w:bCs/>
          <w:szCs w:val="21"/>
        </w:rPr>
        <w:t>环境条件</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环境温度：-20℃～50℃；</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相对湿度：5％～95％；</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海拔高度：≤2000m，2000m以上降额输出；</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大气压强：80kPa～110kPa；</w:t>
      </w:r>
    </w:p>
    <w:p w:rsidR="00064B63" w:rsidRPr="00064B63" w:rsidRDefault="00064B63" w:rsidP="00064B63">
      <w:pPr>
        <w:keepNext/>
        <w:keepLines/>
        <w:numPr>
          <w:ilvl w:val="3"/>
          <w:numId w:val="10"/>
        </w:numPr>
        <w:spacing w:line="360" w:lineRule="auto"/>
        <w:outlineLvl w:val="3"/>
        <w:rPr>
          <w:rFonts w:ascii="宋体" w:eastAsia="宋体" w:hAnsi="宋体" w:cs="宋体"/>
          <w:b/>
          <w:bCs/>
          <w:szCs w:val="21"/>
        </w:rPr>
      </w:pPr>
      <w:r w:rsidRPr="00064B63">
        <w:rPr>
          <w:rFonts w:ascii="宋体" w:eastAsia="宋体" w:hAnsi="宋体" w:cs="宋体" w:hint="eastAsia"/>
          <w:b/>
          <w:bCs/>
          <w:szCs w:val="21"/>
        </w:rPr>
        <w:t>电源条件</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交流输入电压：380V±15％；</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交流电源频率：45HZ~65HZ。</w:t>
      </w:r>
    </w:p>
    <w:p w:rsidR="00064B63" w:rsidRPr="00064B63" w:rsidRDefault="00064B63" w:rsidP="00064B63">
      <w:pPr>
        <w:keepNext/>
        <w:keepLines/>
        <w:numPr>
          <w:ilvl w:val="3"/>
          <w:numId w:val="10"/>
        </w:numPr>
        <w:spacing w:line="360" w:lineRule="auto"/>
        <w:outlineLvl w:val="3"/>
        <w:rPr>
          <w:rFonts w:ascii="宋体" w:eastAsia="宋体" w:hAnsi="宋体" w:cs="宋体"/>
          <w:b/>
          <w:bCs/>
          <w:szCs w:val="21"/>
        </w:rPr>
      </w:pPr>
      <w:r w:rsidRPr="00064B63">
        <w:rPr>
          <w:rFonts w:ascii="宋体" w:eastAsia="宋体" w:hAnsi="宋体" w:cs="宋体" w:hint="eastAsia"/>
          <w:b/>
          <w:bCs/>
          <w:szCs w:val="21"/>
        </w:rPr>
        <w:t>输出电压和额定功率</w:t>
      </w:r>
    </w:p>
    <w:p w:rsidR="00064B63" w:rsidRPr="00064B63" w:rsidRDefault="00064B63" w:rsidP="00064B63">
      <w:pPr>
        <w:numPr>
          <w:ilvl w:val="0"/>
          <w:numId w:val="11"/>
        </w:num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直流输出电压：50V-1000V；</w:t>
      </w:r>
    </w:p>
    <w:p w:rsidR="00064B63" w:rsidRPr="00064B63" w:rsidRDefault="00064B63" w:rsidP="00064B63">
      <w:pPr>
        <w:keepNext/>
        <w:keepLines/>
        <w:numPr>
          <w:ilvl w:val="3"/>
          <w:numId w:val="10"/>
        </w:numPr>
        <w:spacing w:line="360" w:lineRule="auto"/>
        <w:outlineLvl w:val="3"/>
        <w:rPr>
          <w:rFonts w:ascii="宋体" w:eastAsia="宋体" w:hAnsi="宋体" w:cs="宋体"/>
          <w:b/>
          <w:bCs/>
          <w:szCs w:val="21"/>
        </w:rPr>
      </w:pPr>
      <w:r w:rsidRPr="00064B63">
        <w:rPr>
          <w:rFonts w:ascii="宋体" w:eastAsia="宋体" w:hAnsi="宋体" w:cs="宋体" w:hint="eastAsia"/>
          <w:b/>
          <w:bCs/>
          <w:szCs w:val="21"/>
        </w:rPr>
        <w:t>低压辅助电源</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充电机应能为电动汽车提供低压辅助电源，且具备过负荷、过压、过</w:t>
      </w:r>
      <w:proofErr w:type="gramStart"/>
      <w:r w:rsidRPr="00064B63">
        <w:rPr>
          <w:rFonts w:ascii="宋体" w:eastAsia="宋体" w:hAnsi="宋体" w:cs="宋体" w:hint="eastAsia"/>
          <w:szCs w:val="21"/>
        </w:rPr>
        <w:t>温保护</w:t>
      </w:r>
      <w:proofErr w:type="gramEnd"/>
      <w:r w:rsidRPr="00064B63">
        <w:rPr>
          <w:rFonts w:ascii="宋体" w:eastAsia="宋体" w:hAnsi="宋体" w:cs="宋体" w:hint="eastAsia"/>
          <w:szCs w:val="21"/>
        </w:rPr>
        <w:t>功能。</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1)辅助电源电压：12V</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2)充电机辅助电源满足GB/T 18487.1-2015和Q/GDW 1594-2014中的要求；</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3）纹波峰值系数：不超过±1%。</w:t>
      </w:r>
    </w:p>
    <w:p w:rsidR="00064B63" w:rsidRPr="00064B63" w:rsidRDefault="00064B63" w:rsidP="00064B63">
      <w:pPr>
        <w:keepNext/>
        <w:keepLines/>
        <w:numPr>
          <w:ilvl w:val="3"/>
          <w:numId w:val="10"/>
        </w:numPr>
        <w:spacing w:line="360" w:lineRule="auto"/>
        <w:outlineLvl w:val="3"/>
        <w:rPr>
          <w:rFonts w:ascii="宋体" w:eastAsia="宋体" w:hAnsi="宋体" w:cs="宋体"/>
          <w:b/>
          <w:bCs/>
          <w:szCs w:val="21"/>
        </w:rPr>
      </w:pPr>
      <w:r w:rsidRPr="00064B63">
        <w:rPr>
          <w:rFonts w:ascii="宋体" w:eastAsia="宋体" w:hAnsi="宋体" w:cs="宋体" w:hint="eastAsia"/>
          <w:b/>
          <w:bCs/>
          <w:szCs w:val="21"/>
        </w:rPr>
        <w:t>待机损耗</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整机待机损耗小于等于N*30W。（N表示车辆接口数量）</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t>结构要求</w:t>
      </w:r>
    </w:p>
    <w:p w:rsidR="00064B63" w:rsidRPr="00064B63" w:rsidRDefault="00064B63" w:rsidP="00064B63">
      <w:pPr>
        <w:spacing w:line="360" w:lineRule="auto"/>
        <w:ind w:firstLineChars="200" w:firstLine="420"/>
        <w:rPr>
          <w:rFonts w:ascii="宋体" w:eastAsia="宋体" w:hAnsi="宋体" w:cs="宋体"/>
          <w:szCs w:val="21"/>
        </w:rPr>
      </w:pPr>
      <w:proofErr w:type="gramStart"/>
      <w:r w:rsidRPr="00064B63">
        <w:rPr>
          <w:rFonts w:ascii="宋体" w:eastAsia="宋体" w:hAnsi="宋体" w:cs="宋体" w:hint="eastAsia"/>
          <w:szCs w:val="21"/>
        </w:rPr>
        <w:t>一</w:t>
      </w:r>
      <w:proofErr w:type="gramEnd"/>
      <w:r w:rsidRPr="00064B63">
        <w:rPr>
          <w:rFonts w:ascii="宋体" w:eastAsia="宋体" w:hAnsi="宋体" w:cs="宋体" w:hint="eastAsia"/>
          <w:szCs w:val="21"/>
        </w:rPr>
        <w:t>体式直流充电机，基本构成包括：充电模块、配电单元、控制单元、人机交互单元、计量单元、充电接口等，充电机左、右、前开门，可支持靠墙安装。</w:t>
      </w:r>
    </w:p>
    <w:p w:rsidR="00064B63" w:rsidRPr="00064B63" w:rsidRDefault="00064B63" w:rsidP="00064B63">
      <w:pPr>
        <w:keepNext/>
        <w:keepLines/>
        <w:numPr>
          <w:ilvl w:val="3"/>
          <w:numId w:val="10"/>
        </w:numPr>
        <w:spacing w:line="360" w:lineRule="auto"/>
        <w:outlineLvl w:val="3"/>
        <w:rPr>
          <w:rFonts w:ascii="宋体" w:eastAsia="宋体" w:hAnsi="宋体" w:cs="宋体"/>
          <w:b/>
          <w:bCs/>
          <w:szCs w:val="21"/>
        </w:rPr>
      </w:pPr>
      <w:r w:rsidRPr="00064B63">
        <w:rPr>
          <w:rFonts w:ascii="宋体" w:eastAsia="宋体" w:hAnsi="宋体" w:cs="宋体" w:hint="eastAsia"/>
          <w:b/>
          <w:bCs/>
          <w:szCs w:val="21"/>
        </w:rPr>
        <w:t>结构形式</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 xml:space="preserve"> </w:t>
      </w:r>
      <w:proofErr w:type="gramStart"/>
      <w:r w:rsidRPr="00064B63">
        <w:rPr>
          <w:rFonts w:ascii="宋体" w:eastAsia="宋体" w:hAnsi="宋体" w:cs="宋体" w:hint="eastAsia"/>
          <w:szCs w:val="21"/>
        </w:rPr>
        <w:t>一</w:t>
      </w:r>
      <w:proofErr w:type="gramEnd"/>
      <w:r w:rsidRPr="00064B63">
        <w:rPr>
          <w:rFonts w:ascii="宋体" w:eastAsia="宋体" w:hAnsi="宋体" w:cs="宋体" w:hint="eastAsia"/>
          <w:szCs w:val="21"/>
        </w:rPr>
        <w:t>体式单枪直流充电机，柜体带有A枪，出线方式为上出线。</w:t>
      </w:r>
    </w:p>
    <w:p w:rsidR="00064B63" w:rsidRPr="00064B63" w:rsidRDefault="00064B63" w:rsidP="00064B63">
      <w:pPr>
        <w:keepNext/>
        <w:keepLines/>
        <w:numPr>
          <w:ilvl w:val="3"/>
          <w:numId w:val="10"/>
        </w:numPr>
        <w:spacing w:line="360" w:lineRule="auto"/>
        <w:outlineLvl w:val="3"/>
        <w:rPr>
          <w:rFonts w:ascii="宋体" w:eastAsia="宋体" w:hAnsi="宋体" w:cs="宋体"/>
          <w:b/>
          <w:bCs/>
          <w:szCs w:val="21"/>
        </w:rPr>
      </w:pPr>
      <w:r w:rsidRPr="00064B63">
        <w:rPr>
          <w:rFonts w:ascii="宋体" w:eastAsia="宋体" w:hAnsi="宋体" w:cs="宋体" w:hint="eastAsia"/>
          <w:b/>
          <w:bCs/>
          <w:szCs w:val="21"/>
        </w:rPr>
        <w:t>外壳要求</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充电机采用抗冲击力强、抗老化的材质，可靠性高，充电机</w:t>
      </w:r>
      <w:proofErr w:type="gramStart"/>
      <w:r w:rsidRPr="00064B63">
        <w:rPr>
          <w:rFonts w:ascii="宋体" w:eastAsia="宋体" w:hAnsi="宋体" w:cs="宋体" w:hint="eastAsia"/>
          <w:szCs w:val="21"/>
        </w:rPr>
        <w:t>钣</w:t>
      </w:r>
      <w:proofErr w:type="gramEnd"/>
      <w:r w:rsidRPr="00064B63">
        <w:rPr>
          <w:rFonts w:ascii="宋体" w:eastAsia="宋体" w:hAnsi="宋体" w:cs="宋体" w:hint="eastAsia"/>
          <w:szCs w:val="21"/>
        </w:rPr>
        <w:t>金外壳和暴露在外的</w:t>
      </w:r>
      <w:proofErr w:type="gramStart"/>
      <w:r w:rsidRPr="00064B63">
        <w:rPr>
          <w:rFonts w:ascii="宋体" w:eastAsia="宋体" w:hAnsi="宋体" w:cs="宋体" w:hint="eastAsia"/>
          <w:szCs w:val="21"/>
        </w:rPr>
        <w:t>钣</w:t>
      </w:r>
      <w:proofErr w:type="gramEnd"/>
      <w:r w:rsidRPr="00064B63">
        <w:rPr>
          <w:rFonts w:ascii="宋体" w:eastAsia="宋体" w:hAnsi="宋体" w:cs="宋体" w:hint="eastAsia"/>
          <w:szCs w:val="21"/>
        </w:rPr>
        <w:t>金支架、零件应采取双层防锈措施，非金属外壳也应具有防老化处理。</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lastRenderedPageBreak/>
        <w:t>安全要求</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充电机的安全性要求应满足GB/T 18487.1-2015附录B中对应的描述及技术参数要求。</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1）充电机应具备电源输入侧的过压保护和欠压保护。</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2）充电机应具备输出过压保护。</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3）充电机应具备输出过电流和短路保护。</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4）充电机应具备内部过温保护，当内部温度达到保护值时，采取降功率或停止输出。需具备超温断电功能，当温度过高时，可自动切断充电，防止发生高温自燃等意外，保护充电设备及新能源汽车安全。</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5）充电过程中20分钟内温度升高超过15度保护。</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6）充电机的绝缘检测功能应与车辆绝缘检测功能相配合。</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7）充电过程中当发生下列情况时，充电机应能在100ms内断开直流输出接触器，且直流输出电压应在1s内下降至60V以下。</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启动急停开关；控制导引故障。</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8）充电机在启动充电时应人工确认启动。</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9）充电机应具备限制冲击电流功能，冲击电流不应超过额定输入电流的110%。</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10）充电机应具备电池反接保护功能。</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11）充电机在自动充电前，应具有电池电压检测功能。</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12）充电机在充电过程中应具有防止充电连接器意外脱落</w:t>
      </w:r>
      <w:proofErr w:type="gramStart"/>
      <w:r w:rsidRPr="00064B63">
        <w:rPr>
          <w:rFonts w:ascii="宋体" w:eastAsia="宋体" w:hAnsi="宋体" w:cs="宋体" w:hint="eastAsia"/>
          <w:szCs w:val="21"/>
        </w:rPr>
        <w:t>的锁止装置</w:t>
      </w:r>
      <w:proofErr w:type="gramEnd"/>
      <w:r w:rsidRPr="00064B63">
        <w:rPr>
          <w:rFonts w:ascii="宋体" w:eastAsia="宋体" w:hAnsi="宋体" w:cs="宋体" w:hint="eastAsia"/>
          <w:szCs w:val="21"/>
        </w:rPr>
        <w:t>，直流充电时，车辆接口应</w:t>
      </w:r>
      <w:proofErr w:type="gramStart"/>
      <w:r w:rsidRPr="00064B63">
        <w:rPr>
          <w:rFonts w:ascii="宋体" w:eastAsia="宋体" w:hAnsi="宋体" w:cs="宋体" w:hint="eastAsia"/>
          <w:szCs w:val="21"/>
        </w:rPr>
        <w:t>具有锁止功能</w:t>
      </w:r>
      <w:proofErr w:type="gramEnd"/>
      <w:r w:rsidRPr="00064B63">
        <w:rPr>
          <w:rFonts w:ascii="宋体" w:eastAsia="宋体" w:hAnsi="宋体" w:cs="宋体" w:hint="eastAsia"/>
          <w:szCs w:val="21"/>
        </w:rPr>
        <w:t>，该锁</w:t>
      </w:r>
      <w:proofErr w:type="gramStart"/>
      <w:r w:rsidRPr="00064B63">
        <w:rPr>
          <w:rFonts w:ascii="宋体" w:eastAsia="宋体" w:hAnsi="宋体" w:cs="宋体" w:hint="eastAsia"/>
          <w:szCs w:val="21"/>
        </w:rPr>
        <w:t>止</w:t>
      </w:r>
      <w:proofErr w:type="gramEnd"/>
      <w:r w:rsidRPr="00064B63">
        <w:rPr>
          <w:rFonts w:ascii="宋体" w:eastAsia="宋体" w:hAnsi="宋体" w:cs="宋体" w:hint="eastAsia"/>
          <w:szCs w:val="21"/>
        </w:rPr>
        <w:t>功能应符合GB/T20234.1的相关要求。车辆</w:t>
      </w:r>
      <w:proofErr w:type="gramStart"/>
      <w:r w:rsidRPr="00064B63">
        <w:rPr>
          <w:rFonts w:ascii="宋体" w:eastAsia="宋体" w:hAnsi="宋体" w:cs="宋体" w:hint="eastAsia"/>
          <w:szCs w:val="21"/>
        </w:rPr>
        <w:t>插头端应安装机械锁止装置</w:t>
      </w:r>
      <w:proofErr w:type="gramEnd"/>
      <w:r w:rsidRPr="00064B63">
        <w:rPr>
          <w:rFonts w:ascii="宋体" w:eastAsia="宋体" w:hAnsi="宋体" w:cs="宋体" w:hint="eastAsia"/>
          <w:szCs w:val="21"/>
        </w:rPr>
        <w:t>，供电设备应能判断机械</w:t>
      </w:r>
      <w:proofErr w:type="gramStart"/>
      <w:r w:rsidRPr="00064B63">
        <w:rPr>
          <w:rFonts w:ascii="宋体" w:eastAsia="宋体" w:hAnsi="宋体" w:cs="宋体" w:hint="eastAsia"/>
          <w:szCs w:val="21"/>
        </w:rPr>
        <w:t>锁是否</w:t>
      </w:r>
      <w:proofErr w:type="gramEnd"/>
      <w:r w:rsidRPr="00064B63">
        <w:rPr>
          <w:rFonts w:ascii="宋体" w:eastAsia="宋体" w:hAnsi="宋体" w:cs="宋体" w:hint="eastAsia"/>
          <w:szCs w:val="21"/>
        </w:rPr>
        <w:t>可靠锁止。车辆插头应安装</w:t>
      </w:r>
      <w:proofErr w:type="gramStart"/>
      <w:r w:rsidRPr="00064B63">
        <w:rPr>
          <w:rFonts w:ascii="宋体" w:eastAsia="宋体" w:hAnsi="宋体" w:cs="宋体" w:hint="eastAsia"/>
          <w:szCs w:val="21"/>
        </w:rPr>
        <w:t>电子锁止装置</w:t>
      </w:r>
      <w:proofErr w:type="gramEnd"/>
      <w:r w:rsidRPr="00064B63">
        <w:rPr>
          <w:rFonts w:ascii="宋体" w:eastAsia="宋体" w:hAnsi="宋体" w:cs="宋体" w:hint="eastAsia"/>
          <w:szCs w:val="21"/>
        </w:rPr>
        <w:t>，电子</w:t>
      </w:r>
      <w:proofErr w:type="gramStart"/>
      <w:r w:rsidRPr="00064B63">
        <w:rPr>
          <w:rFonts w:ascii="宋体" w:eastAsia="宋体" w:hAnsi="宋体" w:cs="宋体" w:hint="eastAsia"/>
          <w:szCs w:val="21"/>
        </w:rPr>
        <w:t>锁处于锁止位置</w:t>
      </w:r>
      <w:proofErr w:type="gramEnd"/>
      <w:r w:rsidRPr="00064B63">
        <w:rPr>
          <w:rFonts w:ascii="宋体" w:eastAsia="宋体" w:hAnsi="宋体" w:cs="宋体" w:hint="eastAsia"/>
          <w:szCs w:val="21"/>
        </w:rPr>
        <w:t>时，机械</w:t>
      </w:r>
      <w:proofErr w:type="gramStart"/>
      <w:r w:rsidRPr="00064B63">
        <w:rPr>
          <w:rFonts w:ascii="宋体" w:eastAsia="宋体" w:hAnsi="宋体" w:cs="宋体" w:hint="eastAsia"/>
          <w:szCs w:val="21"/>
        </w:rPr>
        <w:t>锁应无法</w:t>
      </w:r>
      <w:proofErr w:type="gramEnd"/>
      <w:r w:rsidRPr="00064B63">
        <w:rPr>
          <w:rFonts w:ascii="宋体" w:eastAsia="宋体" w:hAnsi="宋体" w:cs="宋体" w:hint="eastAsia"/>
          <w:szCs w:val="21"/>
        </w:rPr>
        <w:t>操作，供电设备应能判断电子</w:t>
      </w:r>
      <w:proofErr w:type="gramStart"/>
      <w:r w:rsidRPr="00064B63">
        <w:rPr>
          <w:rFonts w:ascii="宋体" w:eastAsia="宋体" w:hAnsi="宋体" w:cs="宋体" w:hint="eastAsia"/>
          <w:szCs w:val="21"/>
        </w:rPr>
        <w:t>锁是否</w:t>
      </w:r>
      <w:proofErr w:type="gramEnd"/>
      <w:r w:rsidRPr="00064B63">
        <w:rPr>
          <w:rFonts w:ascii="宋体" w:eastAsia="宋体" w:hAnsi="宋体" w:cs="宋体" w:hint="eastAsia"/>
          <w:szCs w:val="21"/>
        </w:rPr>
        <w:t>可靠锁止。当机械锁或电子</w:t>
      </w:r>
      <w:proofErr w:type="gramStart"/>
      <w:r w:rsidRPr="00064B63">
        <w:rPr>
          <w:rFonts w:ascii="宋体" w:eastAsia="宋体" w:hAnsi="宋体" w:cs="宋体" w:hint="eastAsia"/>
          <w:szCs w:val="21"/>
        </w:rPr>
        <w:t>锁未可靠锁止</w:t>
      </w:r>
      <w:proofErr w:type="gramEnd"/>
      <w:r w:rsidRPr="00064B63">
        <w:rPr>
          <w:rFonts w:ascii="宋体" w:eastAsia="宋体" w:hAnsi="宋体" w:cs="宋体" w:hint="eastAsia"/>
          <w:szCs w:val="21"/>
        </w:rPr>
        <w:t>时，供电设备应停止充电或不启动充电。直流充电车辆</w:t>
      </w:r>
      <w:proofErr w:type="gramStart"/>
      <w:r w:rsidRPr="00064B63">
        <w:rPr>
          <w:rFonts w:ascii="宋体" w:eastAsia="宋体" w:hAnsi="宋体" w:cs="宋体" w:hint="eastAsia"/>
          <w:szCs w:val="21"/>
        </w:rPr>
        <w:t>接口锁止装置</w:t>
      </w:r>
      <w:proofErr w:type="gramEnd"/>
      <w:r w:rsidRPr="00064B63">
        <w:rPr>
          <w:rFonts w:ascii="宋体" w:eastAsia="宋体" w:hAnsi="宋体" w:cs="宋体" w:hint="eastAsia"/>
          <w:szCs w:val="21"/>
        </w:rPr>
        <w:t>工作示例参见GB/T18487.1-2015附录C。</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13）充电过程中BMS传递的SOC/V/I/</w:t>
      </w:r>
      <w:proofErr w:type="spellStart"/>
      <w:r w:rsidRPr="00064B63">
        <w:rPr>
          <w:rFonts w:ascii="宋体" w:eastAsia="宋体" w:hAnsi="宋体" w:cs="宋体" w:hint="eastAsia"/>
          <w:szCs w:val="21"/>
        </w:rPr>
        <w:t>Vcell</w:t>
      </w:r>
      <w:proofErr w:type="spellEnd"/>
      <w:r w:rsidRPr="00064B63">
        <w:rPr>
          <w:rFonts w:ascii="宋体" w:eastAsia="宋体" w:hAnsi="宋体" w:cs="宋体" w:hint="eastAsia"/>
          <w:szCs w:val="21"/>
        </w:rPr>
        <w:t xml:space="preserve"> Max/</w:t>
      </w:r>
      <w:proofErr w:type="spellStart"/>
      <w:r w:rsidRPr="00064B63">
        <w:rPr>
          <w:rFonts w:ascii="宋体" w:eastAsia="宋体" w:hAnsi="宋体" w:cs="宋体" w:hint="eastAsia"/>
          <w:szCs w:val="21"/>
        </w:rPr>
        <w:t>Tempture</w:t>
      </w:r>
      <w:proofErr w:type="spellEnd"/>
      <w:r w:rsidRPr="00064B63">
        <w:rPr>
          <w:rFonts w:ascii="宋体" w:eastAsia="宋体" w:hAnsi="宋体" w:cs="宋体" w:hint="eastAsia"/>
          <w:szCs w:val="21"/>
        </w:rPr>
        <w:t>这些信息维持不变超过3分钟保护。</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14）充电机应具备防止电池电流倒灌功能。</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15）充电设备能够支持</w:t>
      </w:r>
      <w:proofErr w:type="gramStart"/>
      <w:r w:rsidRPr="00064B63">
        <w:rPr>
          <w:rFonts w:ascii="宋体" w:eastAsia="宋体" w:hAnsi="宋体" w:cs="宋体" w:hint="eastAsia"/>
          <w:szCs w:val="21"/>
        </w:rPr>
        <w:t>场站级</w:t>
      </w:r>
      <w:proofErr w:type="gramEnd"/>
      <w:r w:rsidRPr="00064B63">
        <w:rPr>
          <w:rFonts w:ascii="宋体" w:eastAsia="宋体" w:hAnsi="宋体" w:cs="宋体" w:hint="eastAsia"/>
          <w:szCs w:val="21"/>
        </w:rPr>
        <w:t>负荷约束，多单桩间共享有限变压器容量时，可以互相调节每台单桩的输出，最大化、智能利用变压器和每台充电桩的功率输出，防止变压器超负荷、利用率低。</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16）</w:t>
      </w:r>
      <w:proofErr w:type="gramStart"/>
      <w:r w:rsidRPr="00064B63">
        <w:rPr>
          <w:rFonts w:ascii="宋体" w:eastAsia="宋体" w:hAnsi="宋体" w:cs="宋体" w:hint="eastAsia"/>
          <w:szCs w:val="21"/>
        </w:rPr>
        <w:t>插枪归位</w:t>
      </w:r>
      <w:proofErr w:type="gramEnd"/>
      <w:r w:rsidRPr="00064B63">
        <w:rPr>
          <w:rFonts w:ascii="宋体" w:eastAsia="宋体" w:hAnsi="宋体" w:cs="宋体" w:hint="eastAsia"/>
          <w:szCs w:val="21"/>
        </w:rPr>
        <w:t>提醒功能检验，充电完成拔枪后未归位，系统提示请还枪归位，可减少枪</w:t>
      </w:r>
      <w:r w:rsidRPr="00064B63">
        <w:rPr>
          <w:rFonts w:ascii="宋体" w:eastAsia="宋体" w:hAnsi="宋体" w:cs="宋体" w:hint="eastAsia"/>
          <w:szCs w:val="21"/>
        </w:rPr>
        <w:lastRenderedPageBreak/>
        <w:t>头随意放置的情况。</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t>机械强度</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按GB/T 2423.55-2006规定的方法进行试验，剧烈冲击能量为20J（5kg，在0.4m）。试验结束后，充电机的IP等级不受影响，绝缘性能不应降低，门的操作和锁止点不应损坏。</w:t>
      </w:r>
    </w:p>
    <w:p w:rsidR="00064B63" w:rsidRPr="00064B63" w:rsidRDefault="00064B63" w:rsidP="00064B63">
      <w:pPr>
        <w:keepNext/>
        <w:keepLines/>
        <w:numPr>
          <w:ilvl w:val="2"/>
          <w:numId w:val="9"/>
        </w:numPr>
        <w:tabs>
          <w:tab w:val="left" w:pos="432"/>
        </w:tabs>
        <w:spacing w:line="360" w:lineRule="auto"/>
        <w:outlineLvl w:val="2"/>
        <w:rPr>
          <w:rFonts w:ascii="宋体" w:eastAsia="宋体" w:hAnsi="宋体" w:cs="宋体"/>
          <w:szCs w:val="21"/>
        </w:rPr>
      </w:pPr>
      <w:bookmarkStart w:id="9" w:name="_Toc1752"/>
      <w:bookmarkStart w:id="10" w:name="_Toc89357015"/>
      <w:bookmarkStart w:id="11" w:name="_Toc90402996"/>
      <w:r w:rsidRPr="00064B63">
        <w:rPr>
          <w:rFonts w:ascii="宋体" w:eastAsia="宋体" w:hAnsi="宋体" w:cs="宋体" w:hint="eastAsia"/>
          <w:szCs w:val="21"/>
        </w:rPr>
        <w:t>高低温和湿热性能</w:t>
      </w:r>
      <w:bookmarkEnd w:id="9"/>
      <w:bookmarkEnd w:id="10"/>
      <w:bookmarkEnd w:id="11"/>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高低温性能</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试验温度为规定的下限值，待达到试验温度后启动充电机，充电机应能正常工作。</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充电设备可在-40℃～+70℃环境下正常启动充电；</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湿热性能</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按GB/T2423.4-2008中试验Db规定的方法进行试验，试验温度为（40±2）℃，循环次数为2次，在试验结束前2h进行绝缘电阻和介电强度检测，其中绝缘电阻不应小于1MΩ，介电强度按规定值的75％施加测量电压。试验结束后，恢复至正常大气条件，通电后检查充电</w:t>
      </w:r>
      <w:proofErr w:type="gramStart"/>
      <w:r w:rsidRPr="00064B63">
        <w:rPr>
          <w:rFonts w:ascii="宋体" w:eastAsia="宋体" w:hAnsi="宋体" w:cs="宋体" w:hint="eastAsia"/>
          <w:szCs w:val="21"/>
        </w:rPr>
        <w:t>机各项</w:t>
      </w:r>
      <w:proofErr w:type="gramEnd"/>
      <w:r w:rsidRPr="00064B63">
        <w:rPr>
          <w:rFonts w:ascii="宋体" w:eastAsia="宋体" w:hAnsi="宋体" w:cs="宋体" w:hint="eastAsia"/>
          <w:szCs w:val="21"/>
        </w:rPr>
        <w:t>功能应正常。</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t>充电机要求</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要求充电枪在非充电状态下，整体不带电，拔下充电枪，就地充电装置没有任何电源，插入充电枪、认证信息后通电，无安全隐患。</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1）充电机应外观线条流畅、整体紧凑、简洁时尚，与安装地点周边环境相协调。</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2）充电机内部线束，应排布整齐、规整，标识清楚，捆扎牢固。</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3）充电机内元器件应布局合理，易耗易损元件方便更换。</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4）充电机安装于户外时，应便于特殊天气条件下的日常维护。</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5）充电机应采用抗冲击力强、抗老化的材质。</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6）充电机表面涂覆色泽层应均匀光洁，</w:t>
      </w:r>
      <w:proofErr w:type="gramStart"/>
      <w:r w:rsidRPr="00064B63">
        <w:rPr>
          <w:rFonts w:ascii="宋体" w:eastAsia="宋体" w:hAnsi="宋体" w:cs="宋体" w:hint="eastAsia"/>
          <w:szCs w:val="21"/>
        </w:rPr>
        <w:t>不</w:t>
      </w:r>
      <w:proofErr w:type="gramEnd"/>
      <w:r w:rsidRPr="00064B63">
        <w:rPr>
          <w:rFonts w:ascii="宋体" w:eastAsia="宋体" w:hAnsi="宋体" w:cs="宋体" w:hint="eastAsia"/>
          <w:szCs w:val="21"/>
        </w:rPr>
        <w:t>起泡、</w:t>
      </w:r>
      <w:proofErr w:type="gramStart"/>
      <w:r w:rsidRPr="00064B63">
        <w:rPr>
          <w:rFonts w:ascii="宋体" w:eastAsia="宋体" w:hAnsi="宋体" w:cs="宋体" w:hint="eastAsia"/>
          <w:szCs w:val="21"/>
        </w:rPr>
        <w:t>不</w:t>
      </w:r>
      <w:proofErr w:type="gramEnd"/>
      <w:r w:rsidRPr="00064B63">
        <w:rPr>
          <w:rFonts w:ascii="宋体" w:eastAsia="宋体" w:hAnsi="宋体" w:cs="宋体" w:hint="eastAsia"/>
          <w:szCs w:val="21"/>
        </w:rPr>
        <w:t>龟裂、不脱落。</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7）非绝缘材料外壳应可靠接地，结构上应防止操作人员触及带电部件。</w:t>
      </w:r>
    </w:p>
    <w:p w:rsidR="00064B63" w:rsidRPr="00064B63" w:rsidRDefault="00064B63" w:rsidP="00064B63">
      <w:pPr>
        <w:rPr>
          <w:rFonts w:ascii="宋体" w:eastAsia="宋体" w:hAnsi="宋体" w:cs="宋体"/>
          <w:szCs w:val="21"/>
        </w:rPr>
      </w:pPr>
    </w:p>
    <w:p w:rsidR="00064B63" w:rsidRPr="00064B63" w:rsidRDefault="00064B63" w:rsidP="00064B63">
      <w:pPr>
        <w:keepNext/>
        <w:keepLines/>
        <w:numPr>
          <w:ilvl w:val="1"/>
          <w:numId w:val="9"/>
        </w:numPr>
        <w:spacing w:line="360" w:lineRule="auto"/>
        <w:outlineLvl w:val="1"/>
        <w:rPr>
          <w:rFonts w:ascii="宋体" w:eastAsia="宋体" w:hAnsi="宋体" w:cs="宋体"/>
          <w:szCs w:val="21"/>
        </w:rPr>
      </w:pPr>
      <w:r w:rsidRPr="00064B63">
        <w:rPr>
          <w:rFonts w:ascii="宋体" w:eastAsia="宋体" w:hAnsi="宋体" w:cs="宋体" w:hint="eastAsia"/>
          <w:szCs w:val="21"/>
        </w:rPr>
        <w:br w:type="page"/>
      </w:r>
      <w:r w:rsidRPr="00064B63">
        <w:rPr>
          <w:rFonts w:ascii="宋体" w:eastAsia="宋体" w:hAnsi="宋体" w:cs="宋体" w:hint="eastAsia"/>
          <w:szCs w:val="21"/>
        </w:rPr>
        <w:lastRenderedPageBreak/>
        <w:t>40kW</w:t>
      </w:r>
      <w:proofErr w:type="gramStart"/>
      <w:r w:rsidRPr="00064B63">
        <w:rPr>
          <w:rFonts w:ascii="宋体" w:eastAsia="宋体" w:hAnsi="宋体" w:cs="宋体" w:hint="eastAsia"/>
          <w:szCs w:val="21"/>
        </w:rPr>
        <w:t>一</w:t>
      </w:r>
      <w:proofErr w:type="gramEnd"/>
      <w:r w:rsidRPr="00064B63">
        <w:rPr>
          <w:rFonts w:ascii="宋体" w:eastAsia="宋体" w:hAnsi="宋体" w:cs="宋体" w:hint="eastAsia"/>
          <w:szCs w:val="21"/>
        </w:rPr>
        <w:t>体式充电设备详细技术参数</w:t>
      </w:r>
    </w:p>
    <w:tbl>
      <w:tblPr>
        <w:tblW w:w="4712" w:type="pct"/>
        <w:jc w:val="center"/>
        <w:tblLook w:val="0000"/>
      </w:tblPr>
      <w:tblGrid>
        <w:gridCol w:w="716"/>
        <w:gridCol w:w="659"/>
        <w:gridCol w:w="2555"/>
        <w:gridCol w:w="712"/>
        <w:gridCol w:w="3389"/>
      </w:tblGrid>
      <w:tr w:rsidR="00064B63" w:rsidRPr="00064B63" w:rsidTr="00064B63">
        <w:trPr>
          <w:trHeight w:val="324"/>
          <w:tblHeader/>
          <w:jc w:val="center"/>
        </w:trPr>
        <w:tc>
          <w:tcPr>
            <w:tcW w:w="446" w:type="pct"/>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b/>
                <w:bCs/>
                <w:color w:val="000000"/>
                <w:szCs w:val="21"/>
              </w:rPr>
            </w:pPr>
            <w:r w:rsidRPr="00064B63">
              <w:rPr>
                <w:rFonts w:ascii="宋体" w:eastAsia="宋体" w:hAnsi="宋体" w:cs="宋体" w:hint="eastAsia"/>
                <w:b/>
                <w:bCs/>
                <w:color w:val="000000"/>
                <w:szCs w:val="21"/>
              </w:rPr>
              <w:t>序号</w:t>
            </w:r>
          </w:p>
        </w:tc>
        <w:tc>
          <w:tcPr>
            <w:tcW w:w="410" w:type="pct"/>
            <w:tcBorders>
              <w:top w:val="single" w:sz="4" w:space="0" w:color="auto"/>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b/>
                <w:bCs/>
                <w:color w:val="000000"/>
                <w:szCs w:val="21"/>
              </w:rPr>
            </w:pPr>
            <w:r w:rsidRPr="00064B63">
              <w:rPr>
                <w:rFonts w:ascii="宋体" w:eastAsia="宋体" w:hAnsi="宋体" w:cs="宋体" w:hint="eastAsia"/>
                <w:b/>
                <w:bCs/>
                <w:color w:val="000000"/>
                <w:szCs w:val="21"/>
              </w:rPr>
              <w:t>名称</w:t>
            </w:r>
          </w:p>
        </w:tc>
        <w:tc>
          <w:tcPr>
            <w:tcW w:w="1590" w:type="pct"/>
            <w:tcBorders>
              <w:top w:val="single" w:sz="4" w:space="0" w:color="auto"/>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b/>
                <w:bCs/>
                <w:color w:val="000000"/>
                <w:szCs w:val="21"/>
              </w:rPr>
            </w:pPr>
            <w:r w:rsidRPr="00064B63">
              <w:rPr>
                <w:rFonts w:ascii="宋体" w:eastAsia="宋体" w:hAnsi="宋体" w:cs="宋体" w:hint="eastAsia"/>
                <w:b/>
                <w:bCs/>
                <w:color w:val="000000"/>
                <w:szCs w:val="21"/>
              </w:rPr>
              <w:t>项目</w:t>
            </w:r>
          </w:p>
        </w:tc>
        <w:tc>
          <w:tcPr>
            <w:tcW w:w="443" w:type="pct"/>
            <w:tcBorders>
              <w:top w:val="single" w:sz="4" w:space="0" w:color="auto"/>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b/>
                <w:bCs/>
                <w:color w:val="000000"/>
                <w:szCs w:val="21"/>
              </w:rPr>
            </w:pPr>
            <w:r w:rsidRPr="00064B63">
              <w:rPr>
                <w:rFonts w:ascii="宋体" w:eastAsia="宋体" w:hAnsi="宋体" w:cs="宋体" w:hint="eastAsia"/>
                <w:b/>
                <w:bCs/>
                <w:color w:val="000000"/>
                <w:szCs w:val="21"/>
              </w:rPr>
              <w:t>单位</w:t>
            </w:r>
          </w:p>
        </w:tc>
        <w:tc>
          <w:tcPr>
            <w:tcW w:w="2109" w:type="pct"/>
            <w:tcBorders>
              <w:top w:val="single" w:sz="4" w:space="0" w:color="auto"/>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b/>
                <w:bCs/>
                <w:color w:val="000000"/>
                <w:szCs w:val="21"/>
              </w:rPr>
            </w:pPr>
            <w:r w:rsidRPr="00064B63">
              <w:rPr>
                <w:rFonts w:ascii="宋体" w:eastAsia="宋体" w:hAnsi="宋体" w:cs="宋体" w:hint="eastAsia"/>
                <w:b/>
                <w:bCs/>
                <w:color w:val="000000"/>
                <w:szCs w:val="21"/>
              </w:rPr>
              <w:t>技术参数要求</w:t>
            </w:r>
          </w:p>
        </w:tc>
      </w:tr>
      <w:tr w:rsidR="00064B63" w:rsidRPr="00064B63" w:rsidTr="00064B63">
        <w:trPr>
          <w:jc w:val="center"/>
        </w:trPr>
        <w:tc>
          <w:tcPr>
            <w:tcW w:w="446" w:type="pct"/>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w:t>
            </w:r>
          </w:p>
        </w:tc>
        <w:tc>
          <w:tcPr>
            <w:tcW w:w="410" w:type="pct"/>
            <w:vMerge w:val="restart"/>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直流充电机</w:t>
            </w:r>
          </w:p>
        </w:tc>
        <w:tc>
          <w:tcPr>
            <w:tcW w:w="1590" w:type="pct"/>
            <w:tcBorders>
              <w:top w:val="single" w:sz="4" w:space="0" w:color="auto"/>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交流输入电压</w:t>
            </w:r>
          </w:p>
        </w:tc>
        <w:tc>
          <w:tcPr>
            <w:tcW w:w="443" w:type="pct"/>
            <w:tcBorders>
              <w:top w:val="single" w:sz="4" w:space="0" w:color="auto"/>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V</w:t>
            </w:r>
          </w:p>
        </w:tc>
        <w:tc>
          <w:tcPr>
            <w:tcW w:w="2109" w:type="pct"/>
            <w:tcBorders>
              <w:top w:val="single" w:sz="4" w:space="0" w:color="auto"/>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三相380：323～437</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交流电源频率</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Hz</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45～65</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3</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交流输入电流</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A</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76</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4</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输入功率因数</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≥0.99</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szCs w:val="21"/>
              </w:rPr>
              <w:t>▲</w:t>
            </w:r>
            <w:r w:rsidRPr="00064B63">
              <w:rPr>
                <w:rFonts w:ascii="宋体" w:eastAsia="宋体" w:hAnsi="宋体" w:cs="宋体" w:hint="eastAsia"/>
                <w:color w:val="000000"/>
                <w:szCs w:val="21"/>
              </w:rPr>
              <w:t>5</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直流电压调节范围</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V</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50-1000V</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6</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 xml:space="preserve">充电模块功率 </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kW</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40</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7</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电压设定误差</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≤±0.5%</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shd w:val="clear" w:color="auto" w:fill="auto"/>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8</w:t>
            </w:r>
          </w:p>
        </w:tc>
        <w:tc>
          <w:tcPr>
            <w:tcW w:w="410" w:type="pct"/>
            <w:vMerge/>
            <w:tcBorders>
              <w:top w:val="nil"/>
              <w:left w:val="single" w:sz="4" w:space="0" w:color="auto"/>
              <w:bottom w:val="single" w:sz="4" w:space="0" w:color="auto"/>
              <w:right w:val="single" w:sz="4" w:space="0" w:color="auto"/>
            </w:tcBorders>
            <w:shd w:val="clear" w:color="auto" w:fill="auto"/>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电流设定误差</w:t>
            </w:r>
          </w:p>
        </w:tc>
        <w:tc>
          <w:tcPr>
            <w:tcW w:w="443"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≤±0.2A（输出电流＜30A）</w:t>
            </w:r>
          </w:p>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≤±0.5%（输出电流≥30A）</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shd w:val="clear" w:color="auto" w:fill="auto"/>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szCs w:val="21"/>
              </w:rPr>
              <w:t>▲</w:t>
            </w:r>
            <w:r w:rsidRPr="00064B63">
              <w:rPr>
                <w:rFonts w:ascii="宋体" w:eastAsia="宋体" w:hAnsi="宋体" w:cs="宋体" w:hint="eastAsia"/>
                <w:color w:val="000000"/>
                <w:szCs w:val="21"/>
              </w:rPr>
              <w:t>9</w:t>
            </w:r>
          </w:p>
        </w:tc>
        <w:tc>
          <w:tcPr>
            <w:tcW w:w="410" w:type="pct"/>
            <w:vMerge/>
            <w:tcBorders>
              <w:top w:val="nil"/>
              <w:left w:val="single" w:sz="4" w:space="0" w:color="auto"/>
              <w:bottom w:val="single" w:sz="4" w:space="0" w:color="auto"/>
              <w:right w:val="single" w:sz="4" w:space="0" w:color="auto"/>
            </w:tcBorders>
            <w:shd w:val="clear" w:color="auto" w:fill="auto"/>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稳压精度</w:t>
            </w:r>
          </w:p>
        </w:tc>
        <w:tc>
          <w:tcPr>
            <w:tcW w:w="443"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w:t>
            </w:r>
          </w:p>
        </w:tc>
        <w:tc>
          <w:tcPr>
            <w:tcW w:w="2109"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≤±0.5%</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shd w:val="clear" w:color="auto" w:fill="auto"/>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szCs w:val="21"/>
              </w:rPr>
              <w:t>▲</w:t>
            </w:r>
            <w:r w:rsidRPr="00064B63">
              <w:rPr>
                <w:rFonts w:ascii="宋体" w:eastAsia="宋体" w:hAnsi="宋体" w:cs="宋体" w:hint="eastAsia"/>
                <w:color w:val="000000"/>
                <w:szCs w:val="21"/>
              </w:rPr>
              <w:t>10</w:t>
            </w:r>
          </w:p>
        </w:tc>
        <w:tc>
          <w:tcPr>
            <w:tcW w:w="410" w:type="pct"/>
            <w:vMerge/>
            <w:tcBorders>
              <w:top w:val="nil"/>
              <w:left w:val="single" w:sz="4" w:space="0" w:color="auto"/>
              <w:bottom w:val="single" w:sz="4" w:space="0" w:color="auto"/>
              <w:right w:val="single" w:sz="4" w:space="0" w:color="auto"/>
            </w:tcBorders>
            <w:shd w:val="clear" w:color="auto" w:fill="auto"/>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稳流精度</w:t>
            </w:r>
          </w:p>
        </w:tc>
        <w:tc>
          <w:tcPr>
            <w:tcW w:w="443"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w:t>
            </w:r>
          </w:p>
        </w:tc>
        <w:tc>
          <w:tcPr>
            <w:tcW w:w="2109"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≤±0.5%</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shd w:val="clear" w:color="auto" w:fill="auto"/>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11</w:t>
            </w:r>
          </w:p>
        </w:tc>
        <w:tc>
          <w:tcPr>
            <w:tcW w:w="410" w:type="pct"/>
            <w:vMerge/>
            <w:tcBorders>
              <w:top w:val="nil"/>
              <w:left w:val="single" w:sz="4" w:space="0" w:color="auto"/>
              <w:bottom w:val="single" w:sz="4" w:space="0" w:color="auto"/>
              <w:right w:val="single" w:sz="4" w:space="0" w:color="auto"/>
            </w:tcBorders>
            <w:shd w:val="clear" w:color="auto" w:fill="auto"/>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纹波系数</w:t>
            </w:r>
          </w:p>
        </w:tc>
        <w:tc>
          <w:tcPr>
            <w:tcW w:w="443"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w:t>
            </w:r>
          </w:p>
        </w:tc>
        <w:tc>
          <w:tcPr>
            <w:tcW w:w="2109"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峰值：≤±1%</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12</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输入冲击电流</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A</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≤110%额定输入电流</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szCs w:val="21"/>
              </w:rPr>
              <w:t>▲</w:t>
            </w:r>
            <w:r w:rsidRPr="00064B63">
              <w:rPr>
                <w:rFonts w:ascii="宋体" w:eastAsia="宋体" w:hAnsi="宋体" w:cs="宋体" w:hint="eastAsia"/>
                <w:color w:val="000000"/>
                <w:szCs w:val="21"/>
              </w:rPr>
              <w:t>13</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效率</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≥95%</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14</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噪声</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dB</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Ⅱ级</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15</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显示屏</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4.3寸彩色触摸屏</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16</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输出路数</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单枪，</w:t>
            </w:r>
            <w:proofErr w:type="gramStart"/>
            <w:r w:rsidRPr="00064B63">
              <w:rPr>
                <w:rFonts w:ascii="宋体" w:eastAsia="宋体" w:hAnsi="宋体" w:cs="宋体" w:hint="eastAsia"/>
                <w:color w:val="000000"/>
                <w:szCs w:val="21"/>
              </w:rPr>
              <w:t>5米枪线</w:t>
            </w:r>
            <w:proofErr w:type="gramEnd"/>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17</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静电放电抗扰度</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4级</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18</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射频电磁场辐射抗扰度</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4级</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19</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电快速瞬变脉冲群抗扰度</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4级</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20</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浪涌（冲击）抗扰度</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4级</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21</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roofErr w:type="gramStart"/>
            <w:r w:rsidRPr="00064B63">
              <w:rPr>
                <w:rFonts w:ascii="宋体" w:eastAsia="宋体" w:hAnsi="宋体" w:cs="宋体" w:hint="eastAsia"/>
                <w:color w:val="000000"/>
                <w:szCs w:val="21"/>
              </w:rPr>
              <w:t>射频场</w:t>
            </w:r>
            <w:proofErr w:type="gramEnd"/>
            <w:r w:rsidRPr="00064B63">
              <w:rPr>
                <w:rFonts w:ascii="宋体" w:eastAsia="宋体" w:hAnsi="宋体" w:cs="宋体" w:hint="eastAsia"/>
                <w:color w:val="000000"/>
                <w:szCs w:val="21"/>
              </w:rPr>
              <w:t>感应的传导骚扰抗扰度</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3级</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22</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谐波电流限值要求（THD）</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≤5</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23</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充电机结构形式</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roofErr w:type="gramStart"/>
            <w:r w:rsidRPr="00064B63">
              <w:rPr>
                <w:rFonts w:ascii="宋体" w:eastAsia="宋体" w:hAnsi="宋体" w:cs="宋体" w:hint="eastAsia"/>
                <w:color w:val="000000"/>
                <w:szCs w:val="21"/>
              </w:rPr>
              <w:t>一</w:t>
            </w:r>
            <w:proofErr w:type="gramEnd"/>
            <w:r w:rsidRPr="00064B63">
              <w:rPr>
                <w:rFonts w:ascii="宋体" w:eastAsia="宋体" w:hAnsi="宋体" w:cs="宋体" w:hint="eastAsia"/>
                <w:color w:val="000000"/>
                <w:szCs w:val="21"/>
              </w:rPr>
              <w:t>体式</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24</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有源功率因数校正电路</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带</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25</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直流输出接口</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GB／T20234.3-2015</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26</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平均无故障时间</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h</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≥26280h</w:t>
            </w:r>
          </w:p>
        </w:tc>
      </w:tr>
    </w:tbl>
    <w:p w:rsidR="00064B63" w:rsidRPr="00064B63" w:rsidRDefault="00064B63" w:rsidP="00064B63">
      <w:pPr>
        <w:rPr>
          <w:rFonts w:ascii="宋体" w:eastAsia="宋体" w:hAnsi="宋体" w:cs="宋体"/>
          <w:szCs w:val="21"/>
        </w:rPr>
      </w:pPr>
    </w:p>
    <w:p w:rsidR="00064B63" w:rsidRPr="00064B63" w:rsidRDefault="00064B63" w:rsidP="00064B63">
      <w:pPr>
        <w:keepNext/>
        <w:keepLines/>
        <w:numPr>
          <w:ilvl w:val="1"/>
          <w:numId w:val="9"/>
        </w:numPr>
        <w:spacing w:line="360" w:lineRule="auto"/>
        <w:outlineLvl w:val="1"/>
        <w:rPr>
          <w:rFonts w:ascii="宋体" w:eastAsia="宋体" w:hAnsi="宋体" w:cs="宋体"/>
          <w:szCs w:val="21"/>
        </w:rPr>
      </w:pPr>
      <w:r w:rsidRPr="00064B63">
        <w:rPr>
          <w:rFonts w:ascii="宋体" w:eastAsia="宋体" w:hAnsi="宋体" w:cs="宋体" w:hint="eastAsia"/>
          <w:szCs w:val="21"/>
        </w:rPr>
        <w:br w:type="page"/>
      </w:r>
      <w:r w:rsidRPr="00064B63">
        <w:rPr>
          <w:rFonts w:ascii="宋体" w:eastAsia="宋体" w:hAnsi="宋体" w:cs="宋体" w:hint="eastAsia"/>
          <w:szCs w:val="21"/>
        </w:rPr>
        <w:lastRenderedPageBreak/>
        <w:t>7kW交流充电桩技术要求</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t>技术参数</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caps/>
          <w:kern w:val="0"/>
          <w:szCs w:val="21"/>
        </w:rPr>
      </w:pPr>
      <w:r w:rsidRPr="00064B63">
        <w:rPr>
          <w:rFonts w:ascii="宋体" w:eastAsia="宋体" w:hAnsi="宋体" w:cs="宋体" w:hint="eastAsia"/>
          <w:caps/>
          <w:kern w:val="0"/>
          <w:szCs w:val="21"/>
        </w:rPr>
        <w:t>（1）环</w:t>
      </w:r>
      <w:r w:rsidRPr="00064B63">
        <w:rPr>
          <w:rFonts w:ascii="宋体" w:eastAsia="宋体" w:hAnsi="宋体" w:cs="宋体" w:hint="eastAsia"/>
          <w:caps/>
          <w:kern w:val="21"/>
          <w:szCs w:val="21"/>
        </w:rPr>
        <w:t>境条件</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环境温度：-20℃～50℃；</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相对湿度：5％～95％；</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海拔高度：≤2000m；</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大气压强：80kPa～110kPa。</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caps/>
          <w:kern w:val="0"/>
          <w:szCs w:val="21"/>
        </w:rPr>
      </w:pPr>
      <w:r w:rsidRPr="00064B63">
        <w:rPr>
          <w:rFonts w:ascii="宋体" w:eastAsia="宋体" w:hAnsi="宋体" w:cs="宋体" w:hint="eastAsia"/>
          <w:caps/>
          <w:kern w:val="0"/>
          <w:szCs w:val="21"/>
        </w:rPr>
        <w:t>（2）电源条件</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电源电压：单相220V±20％；</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电源频率：50Hz±1Hz。</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szCs w:val="21"/>
        </w:rPr>
      </w:pPr>
      <w:r w:rsidRPr="00064B63">
        <w:rPr>
          <w:rFonts w:ascii="宋体" w:eastAsia="宋体" w:hAnsi="宋体" w:cs="宋体" w:hint="eastAsia"/>
          <w:caps/>
          <w:kern w:val="0"/>
          <w:szCs w:val="21"/>
        </w:rPr>
        <w:t>（3）额定电压：</w:t>
      </w:r>
      <w:r w:rsidRPr="00064B63">
        <w:rPr>
          <w:rFonts w:ascii="宋体" w:eastAsia="宋体" w:hAnsi="宋体" w:cs="宋体" w:hint="eastAsia"/>
          <w:szCs w:val="21"/>
        </w:rPr>
        <w:t>单相220V。</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szCs w:val="21"/>
        </w:rPr>
      </w:pPr>
      <w:r w:rsidRPr="00064B63">
        <w:rPr>
          <w:rFonts w:ascii="宋体" w:eastAsia="宋体" w:hAnsi="宋体" w:cs="宋体" w:hint="eastAsia"/>
          <w:caps/>
          <w:kern w:val="0"/>
          <w:szCs w:val="21"/>
        </w:rPr>
        <w:t>（4）额定电流：</w:t>
      </w:r>
      <w:r w:rsidRPr="00064B63">
        <w:rPr>
          <w:rFonts w:ascii="宋体" w:eastAsia="宋体" w:hAnsi="宋体" w:cs="宋体" w:hint="eastAsia"/>
          <w:szCs w:val="21"/>
        </w:rPr>
        <w:t>32A。</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szCs w:val="21"/>
        </w:rPr>
      </w:pPr>
      <w:r w:rsidRPr="00064B63">
        <w:rPr>
          <w:rFonts w:ascii="宋体" w:eastAsia="宋体" w:hAnsi="宋体" w:cs="宋体" w:hint="eastAsia"/>
          <w:caps/>
          <w:kern w:val="0"/>
          <w:szCs w:val="21"/>
        </w:rPr>
        <w:t>（5）结构形式：</w:t>
      </w:r>
      <w:r w:rsidRPr="00064B63">
        <w:rPr>
          <w:rFonts w:ascii="宋体" w:eastAsia="宋体" w:hAnsi="宋体" w:cs="宋体" w:hint="eastAsia"/>
          <w:szCs w:val="21"/>
        </w:rPr>
        <w:t>桩体采用落地/壁挂安装方式。</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szCs w:val="21"/>
        </w:rPr>
      </w:pPr>
      <w:r w:rsidRPr="00064B63">
        <w:rPr>
          <w:rFonts w:ascii="宋体" w:eastAsia="宋体" w:hAnsi="宋体" w:cs="宋体" w:hint="eastAsia"/>
          <w:caps/>
          <w:kern w:val="0"/>
          <w:szCs w:val="21"/>
        </w:rPr>
        <w:t>（6）输出形式：</w:t>
      </w:r>
      <w:r w:rsidRPr="00064B63">
        <w:rPr>
          <w:rFonts w:ascii="宋体" w:eastAsia="宋体" w:hAnsi="宋体" w:cs="宋体" w:hint="eastAsia"/>
          <w:szCs w:val="21"/>
        </w:rPr>
        <w:t>每台交流充电桩配置1套交流充电接口。</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t>功能要求</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caps/>
          <w:kern w:val="0"/>
          <w:szCs w:val="21"/>
        </w:rPr>
      </w:pPr>
      <w:r w:rsidRPr="00064B63">
        <w:rPr>
          <w:rFonts w:ascii="宋体" w:eastAsia="宋体" w:hAnsi="宋体" w:cs="宋体" w:hint="eastAsia"/>
          <w:caps/>
          <w:kern w:val="0"/>
          <w:szCs w:val="21"/>
        </w:rPr>
        <w:t>（1）计量功能</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电能计量装置应符合国家计量器具鉴定相关要求。</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caps/>
          <w:kern w:val="0"/>
          <w:szCs w:val="21"/>
        </w:rPr>
      </w:pPr>
      <w:r w:rsidRPr="00064B63">
        <w:rPr>
          <w:rFonts w:ascii="宋体" w:eastAsia="宋体" w:hAnsi="宋体" w:cs="宋体" w:hint="eastAsia"/>
          <w:caps/>
          <w:kern w:val="0"/>
          <w:szCs w:val="21"/>
        </w:rPr>
        <w:t>（2）人机交互功能</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proofErr w:type="gramStart"/>
      <w:r w:rsidRPr="00064B63">
        <w:rPr>
          <w:rFonts w:ascii="宋体" w:eastAsia="宋体" w:hAnsi="宋体" w:cs="宋体" w:hint="eastAsia"/>
          <w:szCs w:val="21"/>
        </w:rPr>
        <w:t>充电桩应能</w:t>
      </w:r>
      <w:proofErr w:type="gramEnd"/>
      <w:r w:rsidRPr="00064B63">
        <w:rPr>
          <w:rFonts w:ascii="宋体" w:eastAsia="宋体" w:hAnsi="宋体" w:cs="宋体" w:hint="eastAsia"/>
          <w:szCs w:val="21"/>
        </w:rPr>
        <w:t>显示各状态下的相关信息，包括电源、充电、故障状态指示及报警信息等。</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具备扫码、刷卡启动充电。</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通信功能，支持4G通讯功能。</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caps/>
          <w:kern w:val="0"/>
          <w:szCs w:val="21"/>
        </w:rPr>
      </w:pPr>
      <w:r w:rsidRPr="00064B63">
        <w:rPr>
          <w:rFonts w:ascii="宋体" w:eastAsia="宋体" w:hAnsi="宋体" w:cs="宋体" w:hint="eastAsia"/>
          <w:caps/>
          <w:kern w:val="0"/>
          <w:szCs w:val="21"/>
        </w:rPr>
        <w:t>（3）保护功能</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充电桩的安全性要求应满足GB/T 18487.1-2015附录A中对应的描述和要求。</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充电桩的电源回路应具备带负载可分合的开关电器。</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充电桩的电源回路应具备过载、短路、漏电保护装置。</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充电桩的电源回路应具备防雷保护功能，并且符合GB/T  17626.5-2008电磁兼容试验和测量技术（冲击）抗扰度试验  试验等级：3级的要求。</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proofErr w:type="gramStart"/>
      <w:r w:rsidRPr="00064B63">
        <w:rPr>
          <w:rFonts w:ascii="宋体" w:eastAsia="宋体" w:hAnsi="宋体" w:cs="宋体" w:hint="eastAsia"/>
          <w:szCs w:val="21"/>
        </w:rPr>
        <w:t>充电桩应具备</w:t>
      </w:r>
      <w:proofErr w:type="gramEnd"/>
      <w:r w:rsidRPr="00064B63">
        <w:rPr>
          <w:rFonts w:ascii="宋体" w:eastAsia="宋体" w:hAnsi="宋体" w:cs="宋体" w:hint="eastAsia"/>
          <w:szCs w:val="21"/>
        </w:rPr>
        <w:t>急停开关，能实现在充电过程中100ms内紧急切断输出电源。</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在充电过程中出现连接异常时，</w:t>
      </w:r>
      <w:proofErr w:type="gramStart"/>
      <w:r w:rsidRPr="00064B63">
        <w:rPr>
          <w:rFonts w:ascii="宋体" w:eastAsia="宋体" w:hAnsi="宋体" w:cs="宋体" w:hint="eastAsia"/>
          <w:szCs w:val="21"/>
        </w:rPr>
        <w:t>充电桩应立即</w:t>
      </w:r>
      <w:proofErr w:type="gramEnd"/>
      <w:r w:rsidRPr="00064B63">
        <w:rPr>
          <w:rFonts w:ascii="宋体" w:eastAsia="宋体" w:hAnsi="宋体" w:cs="宋体" w:hint="eastAsia"/>
          <w:szCs w:val="21"/>
        </w:rPr>
        <w:t>（100ms内）自动切断输出电源。</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在停止充电时，</w:t>
      </w:r>
      <w:proofErr w:type="gramStart"/>
      <w:r w:rsidRPr="00064B63">
        <w:rPr>
          <w:rFonts w:ascii="宋体" w:eastAsia="宋体" w:hAnsi="宋体" w:cs="宋体" w:hint="eastAsia"/>
          <w:szCs w:val="21"/>
        </w:rPr>
        <w:t>充电桩应保证</w:t>
      </w:r>
      <w:proofErr w:type="gramEnd"/>
      <w:r w:rsidRPr="00064B63">
        <w:rPr>
          <w:rFonts w:ascii="宋体" w:eastAsia="宋体" w:hAnsi="宋体" w:cs="宋体" w:hint="eastAsia"/>
          <w:szCs w:val="21"/>
        </w:rPr>
        <w:t>输出电源回路处于断开状态。</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proofErr w:type="gramStart"/>
      <w:r w:rsidRPr="00064B63">
        <w:rPr>
          <w:rFonts w:ascii="宋体" w:eastAsia="宋体" w:hAnsi="宋体" w:cs="宋体" w:hint="eastAsia"/>
          <w:szCs w:val="21"/>
        </w:rPr>
        <w:t>充电桩应具备</w:t>
      </w:r>
      <w:proofErr w:type="gramEnd"/>
      <w:r w:rsidRPr="00064B63">
        <w:rPr>
          <w:rFonts w:ascii="宋体" w:eastAsia="宋体" w:hAnsi="宋体" w:cs="宋体" w:hint="eastAsia"/>
          <w:szCs w:val="21"/>
        </w:rPr>
        <w:t>保护接地导体连续性的持续检测功能，在失去保护接地导体连续性的情况下，应在100ms内切断输出电源</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caps/>
          <w:kern w:val="0"/>
          <w:szCs w:val="21"/>
        </w:rPr>
      </w:pPr>
      <w:r w:rsidRPr="00064B63">
        <w:rPr>
          <w:rFonts w:ascii="宋体" w:eastAsia="宋体" w:hAnsi="宋体" w:cs="宋体" w:hint="eastAsia"/>
          <w:caps/>
          <w:kern w:val="0"/>
          <w:szCs w:val="21"/>
        </w:rPr>
        <w:t>（4）自检功能</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proofErr w:type="gramStart"/>
      <w:r w:rsidRPr="00064B63">
        <w:rPr>
          <w:rFonts w:ascii="宋体" w:eastAsia="宋体" w:hAnsi="宋体" w:cs="宋体" w:hint="eastAsia"/>
          <w:szCs w:val="21"/>
        </w:rPr>
        <w:t>充电桩应具备</w:t>
      </w:r>
      <w:proofErr w:type="gramEnd"/>
      <w:r w:rsidRPr="00064B63">
        <w:rPr>
          <w:rFonts w:ascii="宋体" w:eastAsia="宋体" w:hAnsi="宋体" w:cs="宋体" w:hint="eastAsia"/>
          <w:szCs w:val="21"/>
        </w:rPr>
        <w:t>自检及故障报警功能。</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caps/>
          <w:kern w:val="0"/>
          <w:szCs w:val="21"/>
        </w:rPr>
      </w:pPr>
      <w:r w:rsidRPr="00064B63">
        <w:rPr>
          <w:rFonts w:ascii="宋体" w:eastAsia="宋体" w:hAnsi="宋体" w:cs="宋体" w:hint="eastAsia"/>
          <w:caps/>
          <w:kern w:val="0"/>
          <w:szCs w:val="21"/>
        </w:rPr>
        <w:lastRenderedPageBreak/>
        <w:t>（5）远程升级</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配置通讯模块，充电</w:t>
      </w:r>
      <w:proofErr w:type="gramStart"/>
      <w:r w:rsidRPr="00064B63">
        <w:rPr>
          <w:rFonts w:ascii="宋体" w:eastAsia="宋体" w:hAnsi="宋体" w:cs="宋体" w:hint="eastAsia"/>
          <w:szCs w:val="21"/>
        </w:rPr>
        <w:t>机烧写程序</w:t>
      </w:r>
      <w:proofErr w:type="gramEnd"/>
      <w:r w:rsidRPr="00064B63">
        <w:rPr>
          <w:rFonts w:ascii="宋体" w:eastAsia="宋体" w:hAnsi="宋体" w:cs="宋体" w:hint="eastAsia"/>
          <w:szCs w:val="21"/>
        </w:rPr>
        <w:t>可通过联网后通过监控运维平台控制，远程一键升级，远程更新所有通信协议，以及新国标更新等带来的控制模式升级。</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caps/>
          <w:kern w:val="0"/>
          <w:szCs w:val="21"/>
        </w:rPr>
      </w:pPr>
      <w:r w:rsidRPr="00064B63">
        <w:rPr>
          <w:rFonts w:ascii="宋体" w:eastAsia="宋体" w:hAnsi="宋体" w:cs="宋体" w:hint="eastAsia"/>
          <w:caps/>
          <w:kern w:val="0"/>
          <w:szCs w:val="21"/>
        </w:rPr>
        <w:t>（6）急停功能</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proofErr w:type="gramStart"/>
      <w:r w:rsidRPr="00064B63">
        <w:rPr>
          <w:rFonts w:ascii="宋体" w:eastAsia="宋体" w:hAnsi="宋体" w:cs="宋体" w:hint="eastAsia"/>
          <w:szCs w:val="21"/>
        </w:rPr>
        <w:t>充电桩应具备</w:t>
      </w:r>
      <w:proofErr w:type="gramEnd"/>
      <w:r w:rsidRPr="00064B63">
        <w:rPr>
          <w:rFonts w:ascii="宋体" w:eastAsia="宋体" w:hAnsi="宋体" w:cs="宋体" w:hint="eastAsia"/>
          <w:szCs w:val="21"/>
        </w:rPr>
        <w:t>急停开关，能实现在充电过程中100ms内紧急切断输出电源。</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恢复急停开关后，</w:t>
      </w:r>
      <w:proofErr w:type="gramStart"/>
      <w:r w:rsidRPr="00064B63">
        <w:rPr>
          <w:rFonts w:ascii="宋体" w:eastAsia="宋体" w:hAnsi="宋体" w:cs="宋体" w:hint="eastAsia"/>
          <w:szCs w:val="21"/>
        </w:rPr>
        <w:t>充电桩应能</w:t>
      </w:r>
      <w:proofErr w:type="gramEnd"/>
      <w:r w:rsidRPr="00064B63">
        <w:rPr>
          <w:rFonts w:ascii="宋体" w:eastAsia="宋体" w:hAnsi="宋体" w:cs="宋体" w:hint="eastAsia"/>
          <w:szCs w:val="21"/>
        </w:rPr>
        <w:t>切换至待机状态能够正常启动充电。</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t>7kW交流单桩</w:t>
      </w:r>
    </w:p>
    <w:tbl>
      <w:tblPr>
        <w:tblW w:w="8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619"/>
        <w:gridCol w:w="683"/>
        <w:gridCol w:w="2469"/>
        <w:gridCol w:w="600"/>
        <w:gridCol w:w="3805"/>
      </w:tblGrid>
      <w:tr w:rsidR="00064B63" w:rsidRPr="00064B63" w:rsidTr="00064B63">
        <w:trPr>
          <w:cantSplit/>
          <w:tblHeader/>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序号</w:t>
            </w:r>
          </w:p>
        </w:tc>
        <w:tc>
          <w:tcPr>
            <w:tcW w:w="683"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名称</w:t>
            </w: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项目</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单位</w:t>
            </w: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标准参数值</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w:t>
            </w:r>
          </w:p>
        </w:tc>
        <w:tc>
          <w:tcPr>
            <w:tcW w:w="683" w:type="dxa"/>
            <w:vMerge w:val="restart"/>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交流充电桩</w:t>
            </w: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交流输入电压</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V</w:t>
            </w: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单相220：176～264</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2</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交流电源频率</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Hz</w:t>
            </w: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lang w:val="zh-CN"/>
              </w:rPr>
              <w:t>50±1</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3</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输出功率</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KW</w:t>
            </w: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lang w:val="zh-CN"/>
              </w:rPr>
            </w:pPr>
            <w:r w:rsidRPr="00064B63">
              <w:rPr>
                <w:rFonts w:ascii="宋体" w:eastAsia="宋体" w:hAnsi="宋体" w:cs="宋体" w:hint="eastAsia"/>
                <w:szCs w:val="21"/>
                <w:lang w:val="zh-CN"/>
              </w:rPr>
              <w:t>7kW</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4</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输出额定电流</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A</w:t>
            </w: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lang w:val="zh-CN"/>
              </w:rPr>
            </w:pPr>
            <w:r w:rsidRPr="00064B63">
              <w:rPr>
                <w:rFonts w:ascii="宋体" w:eastAsia="宋体" w:hAnsi="宋体" w:cs="宋体" w:hint="eastAsia"/>
                <w:szCs w:val="21"/>
                <w:lang w:val="zh-CN"/>
              </w:rPr>
              <w:t>32A</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6</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机械强度</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J</w:t>
            </w: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0.7</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7</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静电放电抗扰度</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3级</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8</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射频电磁场辐射抗扰度</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3级</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9</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电快速瞬变脉冲群抗扰度</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3级</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10</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浪涌（冲击）抗扰度</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3级</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11</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电压暂降、短时中断抗扰度试验</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GB/T 17626.11</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▲12</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待机功耗</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W</w:t>
            </w: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w:t>
            </w:r>
            <w:r w:rsidRPr="00064B63">
              <w:rPr>
                <w:rFonts w:ascii="Calibri" w:eastAsia="宋体" w:hAnsi="宋体" w:cs="宋体" w:hint="eastAsia"/>
                <w:szCs w:val="21"/>
              </w:rPr>
              <w:t>4</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13</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噪声</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dB</w:t>
            </w: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＜20</w:t>
            </w:r>
          </w:p>
        </w:tc>
      </w:tr>
      <w:tr w:rsidR="00064B63" w:rsidRPr="00064B63" w:rsidTr="00064B63">
        <w:trPr>
          <w:cantSplit/>
          <w:trHeight w:val="507"/>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14</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充电接口</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满足GB/T20234.1-2015</w:t>
            </w:r>
          </w:p>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GB/T20234.2-2015</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15</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支付方式</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proofErr w:type="gramStart"/>
            <w:r w:rsidRPr="00064B63">
              <w:rPr>
                <w:rFonts w:ascii="宋体" w:eastAsia="宋体" w:hAnsi="宋体" w:cs="宋体" w:hint="eastAsia"/>
                <w:szCs w:val="21"/>
              </w:rPr>
              <w:t>扫码</w:t>
            </w:r>
            <w:proofErr w:type="gramEnd"/>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16</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充电方式</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扫码、刷卡</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17</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介电强度</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≥2000V</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18</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漏电流</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≤3.5MA</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▲19</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防护等级</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≥IP65</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20</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通信接口</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RS485或CAN或以太网</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w:t>
            </w:r>
            <w:r w:rsidRPr="00064B63">
              <w:rPr>
                <w:rFonts w:ascii="Calibri" w:eastAsia="宋体" w:hAnsi="宋体" w:cs="宋体" w:hint="eastAsia"/>
                <w:szCs w:val="21"/>
              </w:rPr>
              <w:t>21</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Calibri" w:eastAsia="宋体" w:hAnsi="宋体" w:cs="宋体" w:hint="eastAsia"/>
                <w:szCs w:val="21"/>
              </w:rPr>
              <w:t>远程功能</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具备远程通讯、远程</w:t>
            </w:r>
            <w:proofErr w:type="gramStart"/>
            <w:r w:rsidRPr="00064B63">
              <w:rPr>
                <w:rFonts w:ascii="宋体" w:eastAsia="宋体" w:hAnsi="宋体" w:cs="宋体" w:hint="eastAsia"/>
                <w:szCs w:val="21"/>
              </w:rPr>
              <w:t>充电卡</w:t>
            </w:r>
            <w:proofErr w:type="gramEnd"/>
            <w:r w:rsidRPr="00064B63">
              <w:rPr>
                <w:rFonts w:ascii="宋体" w:eastAsia="宋体" w:hAnsi="宋体" w:cs="宋体" w:hint="eastAsia"/>
                <w:szCs w:val="21"/>
              </w:rPr>
              <w:t>查询、远程设置参数、远程开启充电、远程停止充电、远程升级、远程运维、远程重启功能。</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▲2</w:t>
            </w:r>
            <w:r w:rsidRPr="00064B63">
              <w:rPr>
                <w:rFonts w:ascii="Calibri" w:eastAsia="宋体" w:hAnsi="宋体" w:cs="宋体" w:hint="eastAsia"/>
                <w:szCs w:val="21"/>
              </w:rPr>
              <w:t>2</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功能要求</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需具备智能有序充电检验、远程功能检验、定时充电检验、漏电检测检验等</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2</w:t>
            </w:r>
            <w:r w:rsidRPr="00064B63">
              <w:rPr>
                <w:rFonts w:ascii="Calibri" w:eastAsia="宋体" w:hAnsi="宋体" w:cs="宋体" w:hint="eastAsia"/>
                <w:szCs w:val="21"/>
              </w:rPr>
              <w:t>3</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安装方式</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落地/壁挂</w:t>
            </w:r>
          </w:p>
        </w:tc>
      </w:tr>
    </w:tbl>
    <w:p w:rsidR="00064B63" w:rsidRPr="00064B63" w:rsidRDefault="00064B63" w:rsidP="00064B63">
      <w:pPr>
        <w:spacing w:line="360" w:lineRule="auto"/>
        <w:rPr>
          <w:rFonts w:ascii="宋体" w:eastAsia="宋体" w:hAnsi="宋体" w:cs="宋体"/>
          <w:szCs w:val="21"/>
        </w:rPr>
      </w:pPr>
    </w:p>
    <w:p w:rsidR="00064B63" w:rsidRPr="00064B63" w:rsidRDefault="00064B63" w:rsidP="00064B63">
      <w:pPr>
        <w:keepNext/>
        <w:keepLines/>
        <w:numPr>
          <w:ilvl w:val="1"/>
          <w:numId w:val="9"/>
        </w:numPr>
        <w:spacing w:line="360" w:lineRule="auto"/>
        <w:outlineLvl w:val="1"/>
        <w:rPr>
          <w:rFonts w:ascii="宋体" w:eastAsia="宋体" w:hAnsi="宋体" w:cs="宋体"/>
          <w:szCs w:val="21"/>
        </w:rPr>
      </w:pPr>
      <w:r w:rsidRPr="00064B63">
        <w:rPr>
          <w:rFonts w:ascii="宋体" w:eastAsia="宋体" w:hAnsi="宋体" w:cs="宋体" w:hint="eastAsia"/>
          <w:b/>
          <w:bCs/>
          <w:szCs w:val="21"/>
        </w:rPr>
        <w:lastRenderedPageBreak/>
        <w:t>监控与运营管理云平台技术要求</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t>技术要求</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所招标的监控与运营管理云平台，能够提供稳定的充电服务，满足运营需求，并且能连通云端成熟的充电防护平台实现大数据安全防护和设备智能运维，保证充电过程安全，提升运维能效。</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操作系统要求：类Unix操作系统统一用CentOS7.2以上，或Windows操作系统统一用windows server 2012以上。</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数据库选用范围：</w:t>
      </w:r>
      <w:proofErr w:type="spellStart"/>
      <w:r w:rsidRPr="00064B63">
        <w:rPr>
          <w:rFonts w:ascii="宋体" w:eastAsia="宋体" w:hAnsi="宋体" w:cs="宋体" w:hint="eastAsia"/>
          <w:szCs w:val="21"/>
        </w:rPr>
        <w:t>MySQL</w:t>
      </w:r>
      <w:proofErr w:type="spellEnd"/>
      <w:r w:rsidRPr="00064B63">
        <w:rPr>
          <w:rFonts w:ascii="宋体" w:eastAsia="宋体" w:hAnsi="宋体" w:cs="宋体" w:hint="eastAsia"/>
          <w:szCs w:val="21"/>
        </w:rPr>
        <w:t>、</w:t>
      </w:r>
      <w:proofErr w:type="spellStart"/>
      <w:r w:rsidRPr="00064B63">
        <w:rPr>
          <w:rFonts w:ascii="宋体" w:eastAsia="宋体" w:hAnsi="宋体" w:cs="宋体" w:hint="eastAsia"/>
          <w:szCs w:val="21"/>
        </w:rPr>
        <w:t>MongoDB</w:t>
      </w:r>
      <w:proofErr w:type="spellEnd"/>
      <w:r w:rsidRPr="00064B63">
        <w:rPr>
          <w:rFonts w:ascii="宋体" w:eastAsia="宋体" w:hAnsi="宋体" w:cs="宋体" w:hint="eastAsia"/>
          <w:szCs w:val="21"/>
        </w:rPr>
        <w:t>、</w:t>
      </w:r>
      <w:proofErr w:type="spellStart"/>
      <w:r w:rsidRPr="00064B63">
        <w:rPr>
          <w:rFonts w:ascii="宋体" w:eastAsia="宋体" w:hAnsi="宋体" w:cs="宋体" w:hint="eastAsia"/>
          <w:szCs w:val="21"/>
        </w:rPr>
        <w:t>PostgreSQL</w:t>
      </w:r>
      <w:proofErr w:type="spellEnd"/>
      <w:r w:rsidRPr="00064B63">
        <w:rPr>
          <w:rFonts w:ascii="宋体" w:eastAsia="宋体" w:hAnsi="宋体" w:cs="宋体" w:hint="eastAsia"/>
          <w:szCs w:val="21"/>
        </w:rPr>
        <w:t>。</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搜索引擎：</w:t>
      </w:r>
      <w:proofErr w:type="spellStart"/>
      <w:r w:rsidRPr="00064B63">
        <w:rPr>
          <w:rFonts w:ascii="宋体" w:eastAsia="宋体" w:hAnsi="宋体" w:cs="宋体" w:hint="eastAsia"/>
          <w:szCs w:val="21"/>
        </w:rPr>
        <w:t>es</w:t>
      </w:r>
      <w:proofErr w:type="spellEnd"/>
      <w:r w:rsidRPr="00064B63">
        <w:rPr>
          <w:rFonts w:ascii="宋体" w:eastAsia="宋体" w:hAnsi="宋体" w:cs="宋体" w:hint="eastAsia"/>
          <w:szCs w:val="21"/>
        </w:rPr>
        <w:t>。</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消息队列：需使用Kafka、</w:t>
      </w:r>
      <w:proofErr w:type="spellStart"/>
      <w:r w:rsidRPr="00064B63">
        <w:rPr>
          <w:rFonts w:ascii="宋体" w:eastAsia="宋体" w:hAnsi="宋体" w:cs="宋体" w:hint="eastAsia"/>
          <w:szCs w:val="21"/>
        </w:rPr>
        <w:t>RabbitMQ</w:t>
      </w:r>
      <w:proofErr w:type="spellEnd"/>
      <w:r w:rsidRPr="00064B63">
        <w:rPr>
          <w:rFonts w:ascii="宋体" w:eastAsia="宋体" w:hAnsi="宋体" w:cs="宋体" w:hint="eastAsia"/>
          <w:szCs w:val="21"/>
        </w:rPr>
        <w:t>。</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缓存：需使用</w:t>
      </w:r>
      <w:proofErr w:type="spellStart"/>
      <w:r w:rsidRPr="00064B63">
        <w:rPr>
          <w:rFonts w:ascii="宋体" w:eastAsia="宋体" w:hAnsi="宋体" w:cs="宋体" w:hint="eastAsia"/>
          <w:szCs w:val="21"/>
        </w:rPr>
        <w:t>Redis</w:t>
      </w:r>
      <w:proofErr w:type="spellEnd"/>
      <w:r w:rsidRPr="00064B63">
        <w:rPr>
          <w:rFonts w:ascii="宋体" w:eastAsia="宋体" w:hAnsi="宋体" w:cs="宋体" w:hint="eastAsia"/>
          <w:szCs w:val="21"/>
        </w:rPr>
        <w:t>。</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其他技术要求：</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（1）必须使用</w:t>
      </w:r>
      <w:proofErr w:type="gramStart"/>
      <w:r w:rsidRPr="00064B63">
        <w:rPr>
          <w:rFonts w:ascii="宋体" w:eastAsia="宋体" w:hAnsi="宋体" w:cs="宋体" w:hint="eastAsia"/>
          <w:szCs w:val="21"/>
        </w:rPr>
        <w:t>微服务</w:t>
      </w:r>
      <w:proofErr w:type="gramEnd"/>
      <w:r w:rsidRPr="00064B63">
        <w:rPr>
          <w:rFonts w:ascii="宋体" w:eastAsia="宋体" w:hAnsi="宋体" w:cs="宋体" w:hint="eastAsia"/>
          <w:szCs w:val="21"/>
        </w:rPr>
        <w:t>架构，满足未来充电桩体量的支撑。</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（2）订单数据存储永久保存</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（3）需要提供详细的外部接口文档</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（4）系统具有备份和</w:t>
      </w:r>
      <w:proofErr w:type="gramStart"/>
      <w:r w:rsidRPr="00064B63">
        <w:rPr>
          <w:rFonts w:ascii="宋体" w:eastAsia="宋体" w:hAnsi="宋体" w:cs="宋体" w:hint="eastAsia"/>
          <w:szCs w:val="21"/>
        </w:rPr>
        <w:t>容灾</w:t>
      </w:r>
      <w:proofErr w:type="gramEnd"/>
      <w:r w:rsidRPr="00064B63">
        <w:rPr>
          <w:rFonts w:ascii="宋体" w:eastAsia="宋体" w:hAnsi="宋体" w:cs="宋体" w:hint="eastAsia"/>
          <w:szCs w:val="21"/>
        </w:rPr>
        <w:t>能力</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（5）上线前需要对整套系统进行压测</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bookmarkStart w:id="12" w:name="_Toc109049677"/>
      <w:bookmarkStart w:id="13" w:name="_Toc90480354"/>
      <w:bookmarkStart w:id="14" w:name="_Toc53664667"/>
      <w:bookmarkStart w:id="15" w:name="_Toc90403024"/>
      <w:r w:rsidRPr="00064B63">
        <w:rPr>
          <w:rFonts w:ascii="宋体" w:eastAsia="宋体" w:hAnsi="宋体" w:cs="宋体" w:hint="eastAsia"/>
          <w:szCs w:val="21"/>
        </w:rPr>
        <w:t>功能需求</w:t>
      </w:r>
      <w:bookmarkEnd w:id="12"/>
      <w:bookmarkEnd w:id="13"/>
      <w:bookmarkEnd w:id="14"/>
      <w:bookmarkEnd w:id="15"/>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运营平台端是本系统</w:t>
      </w:r>
      <w:proofErr w:type="gramStart"/>
      <w:r w:rsidRPr="00064B63">
        <w:rPr>
          <w:rFonts w:ascii="宋体" w:eastAsia="宋体" w:hAnsi="宋体" w:cs="宋体" w:hint="eastAsia"/>
          <w:szCs w:val="21"/>
        </w:rPr>
        <w:t>最</w:t>
      </w:r>
      <w:proofErr w:type="gramEnd"/>
      <w:r w:rsidRPr="00064B63">
        <w:rPr>
          <w:rFonts w:ascii="宋体" w:eastAsia="宋体" w:hAnsi="宋体" w:cs="宋体" w:hint="eastAsia"/>
          <w:szCs w:val="21"/>
        </w:rPr>
        <w:t>基础、</w:t>
      </w:r>
      <w:proofErr w:type="gramStart"/>
      <w:r w:rsidRPr="00064B63">
        <w:rPr>
          <w:rFonts w:ascii="宋体" w:eastAsia="宋体" w:hAnsi="宋体" w:cs="宋体" w:hint="eastAsia"/>
          <w:szCs w:val="21"/>
        </w:rPr>
        <w:t>最</w:t>
      </w:r>
      <w:proofErr w:type="gramEnd"/>
      <w:r w:rsidRPr="00064B63">
        <w:rPr>
          <w:rFonts w:ascii="宋体" w:eastAsia="宋体" w:hAnsi="宋体" w:cs="宋体" w:hint="eastAsia"/>
          <w:szCs w:val="21"/>
        </w:rPr>
        <w:t>核心的功能呈现，实现充电桩、站资源管理，充电桩计费规则，运营活动管理等运营管理，充电</w:t>
      </w:r>
      <w:proofErr w:type="gramStart"/>
      <w:r w:rsidRPr="00064B63">
        <w:rPr>
          <w:rFonts w:ascii="宋体" w:eastAsia="宋体" w:hAnsi="宋体" w:cs="宋体" w:hint="eastAsia"/>
          <w:szCs w:val="21"/>
        </w:rPr>
        <w:t>桩设备</w:t>
      </w:r>
      <w:proofErr w:type="gramEnd"/>
      <w:r w:rsidRPr="00064B63">
        <w:rPr>
          <w:rFonts w:ascii="宋体" w:eastAsia="宋体" w:hAnsi="宋体" w:cs="宋体" w:hint="eastAsia"/>
          <w:szCs w:val="21"/>
        </w:rPr>
        <w:t>实时监控监管（实现充电站、桩实时监控），充电</w:t>
      </w:r>
      <w:proofErr w:type="gramStart"/>
      <w:r w:rsidRPr="00064B63">
        <w:rPr>
          <w:rFonts w:ascii="宋体" w:eastAsia="宋体" w:hAnsi="宋体" w:cs="宋体" w:hint="eastAsia"/>
          <w:szCs w:val="21"/>
        </w:rPr>
        <w:t>桩运维管理</w:t>
      </w:r>
      <w:proofErr w:type="gramEnd"/>
      <w:r w:rsidRPr="00064B63">
        <w:rPr>
          <w:rFonts w:ascii="宋体" w:eastAsia="宋体" w:hAnsi="宋体" w:cs="宋体" w:hint="eastAsia"/>
          <w:szCs w:val="21"/>
        </w:rPr>
        <w:t>以及财务管理等功能，本平台也是车主用户端的管理后台。</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系统设有运营门户、电站运营、客户运营、财务管理、设备运维、充电安全、数据分析、系统管理8大功能中心，详细功能清单如下：</w:t>
      </w:r>
    </w:p>
    <w:tbl>
      <w:tblPr>
        <w:tblW w:w="9175" w:type="dxa"/>
        <w:jc w:val="center"/>
        <w:tblLook w:val="0000"/>
      </w:tblPr>
      <w:tblGrid>
        <w:gridCol w:w="695"/>
        <w:gridCol w:w="890"/>
        <w:gridCol w:w="2065"/>
        <w:gridCol w:w="5525"/>
      </w:tblGrid>
      <w:tr w:rsidR="00064B63" w:rsidRPr="00064B63" w:rsidTr="00064B63">
        <w:trPr>
          <w:trHeight w:val="312"/>
          <w:jc w:val="center"/>
        </w:trPr>
        <w:tc>
          <w:tcPr>
            <w:tcW w:w="695"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64B63" w:rsidRPr="00064B63" w:rsidRDefault="00064B63" w:rsidP="00064B63">
            <w:pPr>
              <w:widowControl/>
              <w:jc w:val="center"/>
              <w:rPr>
                <w:rFonts w:ascii="宋体" w:eastAsia="宋体" w:hAnsi="宋体" w:cs="宋体"/>
                <w:b/>
                <w:bCs/>
                <w:color w:val="000000"/>
                <w:kern w:val="0"/>
                <w:sz w:val="18"/>
                <w:szCs w:val="18"/>
              </w:rPr>
            </w:pPr>
            <w:r w:rsidRPr="00064B63">
              <w:rPr>
                <w:rFonts w:ascii="宋体" w:eastAsia="宋体" w:hAnsi="宋体" w:cs="宋体" w:hint="eastAsia"/>
                <w:b/>
                <w:bCs/>
                <w:color w:val="000000"/>
                <w:kern w:val="0"/>
                <w:sz w:val="18"/>
                <w:szCs w:val="18"/>
              </w:rPr>
              <w:t>模块</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64B63" w:rsidRPr="00064B63" w:rsidRDefault="00064B63" w:rsidP="00064B63">
            <w:pPr>
              <w:widowControl/>
              <w:jc w:val="center"/>
              <w:rPr>
                <w:rFonts w:ascii="宋体" w:eastAsia="宋体" w:hAnsi="宋体" w:cs="宋体"/>
                <w:b/>
                <w:bCs/>
                <w:color w:val="000000"/>
                <w:kern w:val="0"/>
                <w:sz w:val="18"/>
                <w:szCs w:val="18"/>
              </w:rPr>
            </w:pPr>
            <w:r w:rsidRPr="00064B63">
              <w:rPr>
                <w:rFonts w:ascii="宋体" w:eastAsia="宋体" w:hAnsi="宋体" w:cs="宋体" w:hint="eastAsia"/>
                <w:b/>
                <w:bCs/>
                <w:color w:val="000000"/>
                <w:kern w:val="0"/>
                <w:sz w:val="18"/>
                <w:szCs w:val="18"/>
              </w:rPr>
              <w:t>菜单组</w:t>
            </w:r>
          </w:p>
        </w:tc>
        <w:tc>
          <w:tcPr>
            <w:tcW w:w="2065"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64B63" w:rsidRPr="00064B63" w:rsidRDefault="00064B63" w:rsidP="00064B63">
            <w:pPr>
              <w:widowControl/>
              <w:jc w:val="center"/>
              <w:rPr>
                <w:rFonts w:ascii="宋体" w:eastAsia="宋体" w:hAnsi="宋体" w:cs="宋体"/>
                <w:b/>
                <w:bCs/>
                <w:color w:val="000000"/>
                <w:kern w:val="0"/>
                <w:sz w:val="18"/>
                <w:szCs w:val="18"/>
              </w:rPr>
            </w:pPr>
            <w:r w:rsidRPr="00064B63">
              <w:rPr>
                <w:rFonts w:ascii="宋体" w:eastAsia="宋体" w:hAnsi="宋体" w:cs="宋体" w:hint="eastAsia"/>
                <w:b/>
                <w:bCs/>
                <w:color w:val="000000"/>
                <w:kern w:val="0"/>
                <w:sz w:val="18"/>
                <w:szCs w:val="18"/>
              </w:rPr>
              <w:t>菜单名</w:t>
            </w:r>
          </w:p>
        </w:tc>
        <w:tc>
          <w:tcPr>
            <w:tcW w:w="5525"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64B63" w:rsidRPr="00064B63" w:rsidRDefault="00064B63" w:rsidP="00064B63">
            <w:pPr>
              <w:widowControl/>
              <w:jc w:val="center"/>
              <w:rPr>
                <w:rFonts w:ascii="宋体" w:eastAsia="宋体" w:hAnsi="宋体" w:cs="宋体"/>
                <w:b/>
                <w:bCs/>
                <w:color w:val="000000"/>
                <w:kern w:val="0"/>
                <w:sz w:val="18"/>
                <w:szCs w:val="18"/>
              </w:rPr>
            </w:pPr>
            <w:r w:rsidRPr="00064B63">
              <w:rPr>
                <w:rFonts w:ascii="宋体" w:eastAsia="宋体" w:hAnsi="宋体" w:cs="宋体" w:hint="eastAsia"/>
                <w:b/>
                <w:bCs/>
                <w:color w:val="000000"/>
                <w:kern w:val="0"/>
                <w:sz w:val="18"/>
                <w:szCs w:val="18"/>
              </w:rPr>
              <w:t>功能描述</w:t>
            </w:r>
          </w:p>
        </w:tc>
      </w:tr>
      <w:tr w:rsidR="00064B63" w:rsidRPr="00064B63" w:rsidTr="00064B63">
        <w:trPr>
          <w:trHeight w:val="312"/>
          <w:jc w:val="center"/>
        </w:trPr>
        <w:tc>
          <w:tcPr>
            <w:tcW w:w="69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64B63" w:rsidRPr="00064B63" w:rsidRDefault="00064B63" w:rsidP="00064B63">
            <w:pPr>
              <w:widowControl/>
              <w:rPr>
                <w:rFonts w:ascii="宋体" w:eastAsia="宋体" w:hAnsi="宋体" w:cs="宋体"/>
                <w:b/>
                <w:bCs/>
                <w:color w:val="000000"/>
                <w:kern w:val="0"/>
                <w:sz w:val="18"/>
                <w:szCs w:val="18"/>
              </w:rPr>
            </w:pPr>
          </w:p>
        </w:tc>
        <w:tc>
          <w:tcPr>
            <w:tcW w:w="890"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64B63" w:rsidRPr="00064B63" w:rsidRDefault="00064B63" w:rsidP="00064B63">
            <w:pPr>
              <w:widowControl/>
              <w:rPr>
                <w:rFonts w:ascii="宋体" w:eastAsia="宋体" w:hAnsi="宋体" w:cs="宋体"/>
                <w:b/>
                <w:bCs/>
                <w:color w:val="000000"/>
                <w:kern w:val="0"/>
                <w:sz w:val="18"/>
                <w:szCs w:val="18"/>
              </w:rPr>
            </w:pPr>
          </w:p>
        </w:tc>
        <w:tc>
          <w:tcPr>
            <w:tcW w:w="206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64B63" w:rsidRPr="00064B63" w:rsidRDefault="00064B63" w:rsidP="00064B63">
            <w:pPr>
              <w:widowControl/>
              <w:rPr>
                <w:rFonts w:ascii="宋体" w:eastAsia="宋体" w:hAnsi="宋体" w:cs="宋体"/>
                <w:b/>
                <w:bCs/>
                <w:color w:val="000000"/>
                <w:kern w:val="0"/>
                <w:sz w:val="18"/>
                <w:szCs w:val="18"/>
              </w:rPr>
            </w:pPr>
          </w:p>
        </w:tc>
        <w:tc>
          <w:tcPr>
            <w:tcW w:w="552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64B63" w:rsidRPr="00064B63" w:rsidRDefault="00064B63" w:rsidP="00064B63">
            <w:pPr>
              <w:widowControl/>
              <w:rPr>
                <w:rFonts w:ascii="宋体" w:eastAsia="宋体" w:hAnsi="宋体" w:cs="宋体"/>
                <w:b/>
                <w:bCs/>
                <w:color w:val="000000"/>
                <w:kern w:val="0"/>
                <w:sz w:val="18"/>
                <w:szCs w:val="18"/>
              </w:rPr>
            </w:pP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运营管理</w:t>
            </w: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电站运营</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电站管理</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管理电站的基本信息，支持对电站的运营信息进行维护，包括开始运营，暂停运营，结算信息维护等。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用户信息查询</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用于查询统计在该运营商的所属电站上充过电的个人用户信息。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客户组管理</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支持将特定的个人和企业用户设置成特殊客户群体，用户绑定专</w:t>
            </w:r>
            <w:proofErr w:type="gramStart"/>
            <w:r w:rsidRPr="00064B63">
              <w:rPr>
                <w:rFonts w:ascii="宋体" w:eastAsia="宋体" w:hAnsi="宋体" w:cs="宋体" w:hint="eastAsia"/>
                <w:color w:val="000000"/>
                <w:kern w:val="0"/>
                <w:sz w:val="18"/>
                <w:szCs w:val="18"/>
              </w:rPr>
              <w:t>属收费</w:t>
            </w:r>
            <w:proofErr w:type="gramEnd"/>
            <w:r w:rsidRPr="00064B63">
              <w:rPr>
                <w:rFonts w:ascii="宋体" w:eastAsia="宋体" w:hAnsi="宋体" w:cs="宋体" w:hint="eastAsia"/>
                <w:color w:val="000000"/>
                <w:kern w:val="0"/>
                <w:sz w:val="18"/>
                <w:szCs w:val="18"/>
              </w:rPr>
              <w:t>策略，实现差异化收费。</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计费计</w:t>
            </w:r>
            <w:r w:rsidRPr="00064B63">
              <w:rPr>
                <w:rFonts w:ascii="宋体" w:eastAsia="宋体" w:hAnsi="宋体" w:cs="宋体" w:hint="eastAsia"/>
                <w:kern w:val="0"/>
                <w:sz w:val="18"/>
                <w:szCs w:val="18"/>
              </w:rPr>
              <w:lastRenderedPageBreak/>
              <w:t>价策略</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lastRenderedPageBreak/>
              <w:t>折扣策略设置</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对维护好的折扣策略进行关联绑定操作，包括指定客户组，设置电站范</w:t>
            </w:r>
            <w:r w:rsidRPr="00064B63">
              <w:rPr>
                <w:rFonts w:ascii="宋体" w:eastAsia="宋体" w:hAnsi="宋体" w:cs="宋体" w:hint="eastAsia"/>
                <w:color w:val="000000"/>
                <w:kern w:val="0"/>
                <w:sz w:val="18"/>
                <w:szCs w:val="18"/>
              </w:rPr>
              <w:lastRenderedPageBreak/>
              <w:t>围等。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折扣策略管理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新增，查看和维护折扣策略信息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充电计费策略管理</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设定充电站对外定价的策略，制定的定价策略支持设置版本，周期等方式。</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客户卡管理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客户卡信息管理</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对公司的所有充电客户卡进行统一管理，实现激活，冻结，接触冻结，指定使用人，作废，充电记录查询等操作</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车辆管理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路线管理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对车辆路线进行新增，删除，编辑等操作，支持将路线与车辆进行绑定配置，用于关联统计分析。</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车队管理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对车队进行新增，删除，编辑等操作，支持将车队与车辆进行绑定配置，用于关联统计分析。</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车辆信息一览</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支持对所属充电车辆信息进行导出分析。</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车辆信息管理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用户通过此功能维护车辆信息，用于实现车充识别，车辆充电统计等</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充电运营</w:t>
            </w: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代金券管理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电子</w:t>
            </w:r>
            <w:proofErr w:type="gramStart"/>
            <w:r w:rsidRPr="00064B63">
              <w:rPr>
                <w:rFonts w:ascii="宋体" w:eastAsia="宋体" w:hAnsi="宋体" w:cs="宋体" w:hint="eastAsia"/>
                <w:kern w:val="0"/>
                <w:sz w:val="18"/>
                <w:szCs w:val="18"/>
              </w:rPr>
              <w:t>券</w:t>
            </w:r>
            <w:proofErr w:type="gramEnd"/>
            <w:r w:rsidRPr="00064B63">
              <w:rPr>
                <w:rFonts w:ascii="宋体" w:eastAsia="宋体" w:hAnsi="宋体" w:cs="宋体" w:hint="eastAsia"/>
                <w:kern w:val="0"/>
                <w:sz w:val="18"/>
                <w:szCs w:val="18"/>
              </w:rPr>
              <w:t>申请</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用于发起代金券申请业务</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电子</w:t>
            </w:r>
            <w:proofErr w:type="gramStart"/>
            <w:r w:rsidRPr="00064B63">
              <w:rPr>
                <w:rFonts w:ascii="宋体" w:eastAsia="宋体" w:hAnsi="宋体" w:cs="宋体" w:hint="eastAsia"/>
                <w:kern w:val="0"/>
                <w:sz w:val="18"/>
                <w:szCs w:val="18"/>
              </w:rPr>
              <w:t>券</w:t>
            </w:r>
            <w:proofErr w:type="gramEnd"/>
            <w:r w:rsidRPr="00064B63">
              <w:rPr>
                <w:rFonts w:ascii="宋体" w:eastAsia="宋体" w:hAnsi="宋体" w:cs="宋体" w:hint="eastAsia"/>
                <w:kern w:val="0"/>
                <w:sz w:val="18"/>
                <w:szCs w:val="18"/>
              </w:rPr>
              <w:t>申请审核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用于对代金券业务进行审核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电子</w:t>
            </w:r>
            <w:proofErr w:type="gramStart"/>
            <w:r w:rsidRPr="00064B63">
              <w:rPr>
                <w:rFonts w:ascii="宋体" w:eastAsia="宋体" w:hAnsi="宋体" w:cs="宋体" w:hint="eastAsia"/>
                <w:kern w:val="0"/>
                <w:sz w:val="18"/>
                <w:szCs w:val="18"/>
              </w:rPr>
              <w:t>券</w:t>
            </w:r>
            <w:proofErr w:type="gramEnd"/>
            <w:r w:rsidRPr="00064B63">
              <w:rPr>
                <w:rFonts w:ascii="宋体" w:eastAsia="宋体" w:hAnsi="宋体" w:cs="宋体" w:hint="eastAsia"/>
                <w:kern w:val="0"/>
                <w:sz w:val="18"/>
                <w:szCs w:val="18"/>
              </w:rPr>
              <w:t>发放管理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用于对代金券进行个人或企业发放</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电子</w:t>
            </w:r>
            <w:proofErr w:type="gramStart"/>
            <w:r w:rsidRPr="00064B63">
              <w:rPr>
                <w:rFonts w:ascii="宋体" w:eastAsia="宋体" w:hAnsi="宋体" w:cs="宋体" w:hint="eastAsia"/>
                <w:kern w:val="0"/>
                <w:sz w:val="18"/>
                <w:szCs w:val="18"/>
              </w:rPr>
              <w:t>券</w:t>
            </w:r>
            <w:proofErr w:type="gramEnd"/>
            <w:r w:rsidRPr="00064B63">
              <w:rPr>
                <w:rFonts w:ascii="宋体" w:eastAsia="宋体" w:hAnsi="宋体" w:cs="宋体" w:hint="eastAsia"/>
                <w:kern w:val="0"/>
                <w:sz w:val="18"/>
                <w:szCs w:val="18"/>
              </w:rPr>
              <w:t>发放审核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用于对代金券发放进行审核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代金券管理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用于对代金券业务数据进行管理</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代金券作废申请</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对已生成的代金券进行作废处理</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代金券作废申请审核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对已生成的代金券进行作废审核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发券组管理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定义发券组，方便用户发券时选择</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优惠券管理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优惠券申请</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用于发起优惠券申请业务</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优惠券申请单审核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用于对优惠券业务进行审核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优惠券发放</w:t>
            </w:r>
            <w:proofErr w:type="gramStart"/>
            <w:r w:rsidRPr="00064B63">
              <w:rPr>
                <w:rFonts w:ascii="宋体" w:eastAsia="宋体" w:hAnsi="宋体" w:cs="宋体" w:hint="eastAsia"/>
                <w:kern w:val="0"/>
                <w:sz w:val="18"/>
                <w:szCs w:val="18"/>
              </w:rPr>
              <w:t>单管理</w:t>
            </w:r>
            <w:proofErr w:type="gramEnd"/>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用于对优惠券进行个人或企业发放</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优惠券查询</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用于查询已发放的优惠券相关记录</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电站监控</w:t>
            </w: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场站监控</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电站实时监控</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对电站实时数据进行监控，并通过图形化的方式展现每个充电终端实时参数。</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监控平台</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通过地图的方式显示充电站的布局情况，对电站总体数据进行展示。</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电站情况一览</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可以查看电站的基本信息、电站汇总数据、电站终端实时状态等信息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充电场站监控</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可以对电站的设备实时情况进行监控分析，查看预警历史记录</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充电调度</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调度充电</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通过调度充电的页面来实现对充电设施控制充电，支持手工，定时，智能等调度方式。</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运</w:t>
            </w:r>
            <w:proofErr w:type="gramStart"/>
            <w:r w:rsidRPr="00064B63">
              <w:rPr>
                <w:rFonts w:ascii="宋体" w:eastAsia="宋体" w:hAnsi="宋体" w:cs="宋体" w:hint="eastAsia"/>
                <w:kern w:val="0"/>
                <w:sz w:val="18"/>
                <w:szCs w:val="18"/>
              </w:rPr>
              <w:t>维管理</w:t>
            </w:r>
            <w:proofErr w:type="gramEnd"/>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运</w:t>
            </w:r>
            <w:proofErr w:type="gramStart"/>
            <w:r w:rsidRPr="00064B63">
              <w:rPr>
                <w:rFonts w:ascii="宋体" w:eastAsia="宋体" w:hAnsi="宋体" w:cs="宋体" w:hint="eastAsia"/>
                <w:kern w:val="0"/>
                <w:sz w:val="18"/>
                <w:szCs w:val="18"/>
              </w:rPr>
              <w:t>维管理</w:t>
            </w:r>
            <w:proofErr w:type="gramEnd"/>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设备报文查看</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查看设备上传平台的实时日志报文，便于定位分析问题。</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proofErr w:type="gramStart"/>
            <w:r w:rsidRPr="00064B63">
              <w:rPr>
                <w:rFonts w:ascii="宋体" w:eastAsia="宋体" w:hAnsi="宋体" w:cs="宋体" w:hint="eastAsia"/>
                <w:kern w:val="0"/>
                <w:sz w:val="18"/>
                <w:szCs w:val="18"/>
              </w:rPr>
              <w:t>运维工单</w:t>
            </w:r>
            <w:proofErr w:type="gramEnd"/>
            <w:r w:rsidRPr="00064B63">
              <w:rPr>
                <w:rFonts w:ascii="宋体" w:eastAsia="宋体" w:hAnsi="宋体" w:cs="宋体" w:hint="eastAsia"/>
                <w:kern w:val="0"/>
                <w:sz w:val="18"/>
                <w:szCs w:val="18"/>
              </w:rPr>
              <w:t>查询</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针对充电场站的故障情况，自动生成</w:t>
            </w:r>
            <w:proofErr w:type="gramStart"/>
            <w:r w:rsidRPr="00064B63">
              <w:rPr>
                <w:rFonts w:ascii="宋体" w:eastAsia="宋体" w:hAnsi="宋体" w:cs="宋体" w:hint="eastAsia"/>
                <w:color w:val="000000"/>
                <w:kern w:val="0"/>
                <w:sz w:val="18"/>
                <w:szCs w:val="18"/>
              </w:rPr>
              <w:t>运维工单</w:t>
            </w:r>
            <w:proofErr w:type="gramEnd"/>
            <w:r w:rsidRPr="00064B63">
              <w:rPr>
                <w:rFonts w:ascii="宋体" w:eastAsia="宋体" w:hAnsi="宋体" w:cs="宋体" w:hint="eastAsia"/>
                <w:color w:val="000000"/>
                <w:kern w:val="0"/>
                <w:sz w:val="18"/>
                <w:szCs w:val="18"/>
              </w:rPr>
              <w:t>。</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lastRenderedPageBreak/>
              <w:t>报表中心</w:t>
            </w: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充电订单</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全部充电记录</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该功能用于统计所有充电订单信息，包括充电中的订单和已完成的订单，还支持筛选出异常订单用于分析。</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充电成功记录</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提供充电明细统计报表，包括订单编号、状态、设备信息、用户信息、充电时长、充电策略、订单费用等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订单尖峰平谷</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按运营公司，电站名称，充电开始时间，充电结束时间等维度统计尖峰平谷各个时间段的总电量和总电费，可按照电站，开始时间，结束时间等丰富的筛选查询条件，过滤输出充电记录尖峰平谷统计报表</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车辆充电尖峰平谷信息</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统计车辆的尖峰平谷充电记录，可按路线，按车架号，按车牌，按时间等条件查询，用于单车分析考核。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企业充电记录</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统计企业的尖峰平谷充电记录，可按企业、电站、客户类型、业务类型等条件查询。</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综合分析</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综合数据看板</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以电站为维度，对运营，运维及评论等数据，提供可视化的综合数据分析看板，为充电业务提供数据参考依据。</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运</w:t>
            </w:r>
            <w:proofErr w:type="gramStart"/>
            <w:r w:rsidRPr="00064B63">
              <w:rPr>
                <w:rFonts w:ascii="宋体" w:eastAsia="宋体" w:hAnsi="宋体" w:cs="宋体" w:hint="eastAsia"/>
                <w:kern w:val="0"/>
                <w:sz w:val="18"/>
                <w:szCs w:val="18"/>
              </w:rPr>
              <w:t>维统计</w:t>
            </w:r>
            <w:proofErr w:type="gramEnd"/>
            <w:r w:rsidRPr="00064B63">
              <w:rPr>
                <w:rFonts w:ascii="宋体" w:eastAsia="宋体" w:hAnsi="宋体" w:cs="宋体" w:hint="eastAsia"/>
                <w:kern w:val="0"/>
                <w:sz w:val="18"/>
                <w:szCs w:val="18"/>
              </w:rPr>
              <w:t>报表</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设备故障信息</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提供设备故障信息统计报表，包括电站编号、电站名称、集控器编号、名称、CAN地址、终端编号、名称、故障状态、故障发生时间、恢复时间、持续时间、恢复状态等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终端状态明细</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提供终端状态明细统计报表，包括终端编号、名称、状态，状态变化时间、数据收集时间、上报时间、数据延迟时长、集控器地址、集控名称、电站编号、电站名称、所属城市、终端型号、充电接口、充电功率等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电站失败率分析</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提供电站失败率统计报表，包括电站详细信息、运营公司详细信息、终端详细信息、失败次数、失败率等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电站失败记录明细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提供充电失败明细统计报表，包括订单编号、状态、设备信息、用户信息、充电时长、时间等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集控</w:t>
            </w:r>
            <w:proofErr w:type="gramStart"/>
            <w:r w:rsidRPr="00064B63">
              <w:rPr>
                <w:rFonts w:ascii="宋体" w:eastAsia="宋体" w:hAnsi="宋体" w:cs="宋体" w:hint="eastAsia"/>
                <w:kern w:val="0"/>
                <w:sz w:val="18"/>
                <w:szCs w:val="18"/>
              </w:rPr>
              <w:t>器离网</w:t>
            </w:r>
            <w:proofErr w:type="gramEnd"/>
            <w:r w:rsidRPr="00064B63">
              <w:rPr>
                <w:rFonts w:ascii="宋体" w:eastAsia="宋体" w:hAnsi="宋体" w:cs="宋体" w:hint="eastAsia"/>
                <w:kern w:val="0"/>
                <w:sz w:val="18"/>
                <w:szCs w:val="18"/>
              </w:rPr>
              <w:t>信息</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提供集控器其</w:t>
            </w:r>
            <w:proofErr w:type="gramStart"/>
            <w:r w:rsidRPr="00064B63">
              <w:rPr>
                <w:rFonts w:ascii="宋体" w:eastAsia="宋体" w:hAnsi="宋体" w:cs="宋体" w:hint="eastAsia"/>
                <w:color w:val="000000"/>
                <w:kern w:val="0"/>
                <w:sz w:val="18"/>
                <w:szCs w:val="18"/>
              </w:rPr>
              <w:t>的离网信息统计</w:t>
            </w:r>
            <w:proofErr w:type="gramEnd"/>
            <w:r w:rsidRPr="00064B63">
              <w:rPr>
                <w:rFonts w:ascii="宋体" w:eastAsia="宋体" w:hAnsi="宋体" w:cs="宋体" w:hint="eastAsia"/>
                <w:color w:val="000000"/>
                <w:kern w:val="0"/>
                <w:sz w:val="18"/>
                <w:szCs w:val="18"/>
              </w:rPr>
              <w:t>，包括电站，集控器编号，名称，离线时间，上线时间等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运营统计报表</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用户充电情况</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提供用户详细信息查询统计，包括充电时间、编号、费用等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电站基本信息</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提供电站详细信息查询统计，包括电站编号、名称、项目编号、所属城市、电站类型电站终端详情等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电站历史数据</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统计展示电站基本信息、历史订单数据。并可以做</w:t>
            </w:r>
            <w:proofErr w:type="gramStart"/>
            <w:r w:rsidRPr="00064B63">
              <w:rPr>
                <w:rFonts w:ascii="宋体" w:eastAsia="宋体" w:hAnsi="宋体" w:cs="宋体" w:hint="eastAsia"/>
                <w:color w:val="000000"/>
                <w:kern w:val="0"/>
                <w:sz w:val="18"/>
                <w:szCs w:val="18"/>
              </w:rPr>
              <w:t>充电量日趋势分析</w:t>
            </w:r>
            <w:proofErr w:type="gramEnd"/>
            <w:r w:rsidRPr="00064B63">
              <w:rPr>
                <w:rFonts w:ascii="宋体" w:eastAsia="宋体" w:hAnsi="宋体" w:cs="宋体" w:hint="eastAsia"/>
                <w:color w:val="000000"/>
                <w:kern w:val="0"/>
                <w:sz w:val="18"/>
                <w:szCs w:val="18"/>
              </w:rPr>
              <w:t>、充电时长日趋势分析、利用率日趋势分析。</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电站运营状况</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用于查询分析电站运营的运营汇总数据。</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运营电站利用率</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查看运营电站的充电利用率，包括时间利用率和功率利用率等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运营终端利用率</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查看运营终端的充电利用率，包括时间利用率和功率利用率等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企业充电情况</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用于查询分析企业充电的运营汇总数据。</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财务管理</w:t>
            </w: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发票管理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开票申请</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用于处理用户发起的开票申请</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发票管理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用于查看和管理开票记录数据</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收款</w:t>
            </w:r>
            <w:proofErr w:type="gramStart"/>
            <w:r w:rsidRPr="00064B63">
              <w:rPr>
                <w:rFonts w:ascii="宋体" w:eastAsia="宋体" w:hAnsi="宋体" w:cs="宋体" w:hint="eastAsia"/>
                <w:kern w:val="0"/>
                <w:sz w:val="18"/>
                <w:szCs w:val="18"/>
              </w:rPr>
              <w:t>单管理</w:t>
            </w:r>
            <w:proofErr w:type="gramEnd"/>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收款</w:t>
            </w:r>
            <w:proofErr w:type="gramStart"/>
            <w:r w:rsidRPr="00064B63">
              <w:rPr>
                <w:rFonts w:ascii="宋体" w:eastAsia="宋体" w:hAnsi="宋体" w:cs="宋体" w:hint="eastAsia"/>
                <w:kern w:val="0"/>
                <w:sz w:val="18"/>
                <w:szCs w:val="18"/>
              </w:rPr>
              <w:t>单管理</w:t>
            </w:r>
            <w:proofErr w:type="gramEnd"/>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用于管理企业生成的收款单，包括添加、删除等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收款单审核</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用于审核企业生成的收款单</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收款单记账</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用于生效记账企业生成的收款单</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账户管理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企业客户管理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支持企业客户的新增，编辑，人员管理等功能</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企业账户一览</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查看管理企业客户信息及账户余额</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企业信用账户管理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proofErr w:type="gramStart"/>
            <w:r w:rsidRPr="00064B63">
              <w:rPr>
                <w:rFonts w:ascii="宋体" w:eastAsia="宋体" w:hAnsi="宋体" w:cs="宋体" w:hint="eastAsia"/>
                <w:color w:val="000000"/>
                <w:kern w:val="0"/>
                <w:sz w:val="18"/>
                <w:szCs w:val="18"/>
              </w:rPr>
              <w:t>开通管理</w:t>
            </w:r>
            <w:proofErr w:type="gramEnd"/>
            <w:r w:rsidRPr="00064B63">
              <w:rPr>
                <w:rFonts w:ascii="宋体" w:eastAsia="宋体" w:hAnsi="宋体" w:cs="宋体" w:hint="eastAsia"/>
                <w:color w:val="000000"/>
                <w:kern w:val="0"/>
                <w:sz w:val="18"/>
                <w:szCs w:val="18"/>
              </w:rPr>
              <w:t>信用的企业账户状态及额度。</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企业信用额度设置审核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对申请开通信用的企业账户额度进行审核。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信用额度调整申请</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查看进行信用额度调整申请的企业数据</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企业信用额度调整审核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对申请调整信用额度的企业账户进行审核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财务管理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账户信息汇总</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查看本公司所有账户的信息汇总数据，包括充值，消费，余额等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订单收款明细</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用于查询订单收款明细记录</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订单收款对账</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用于订单收款对账</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信用账单管理</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查看企业信用账户消费情况及生成的账单信息。并可以发起还款、查看收款单、发送邮件通知以及核销账单等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订单收款汇总</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w:t>
            </w:r>
            <w:proofErr w:type="gramStart"/>
            <w:r w:rsidRPr="00064B63">
              <w:rPr>
                <w:rFonts w:ascii="宋体" w:eastAsia="宋体" w:hAnsi="宋体" w:cs="宋体" w:hint="eastAsia"/>
                <w:color w:val="000000"/>
                <w:kern w:val="0"/>
                <w:sz w:val="18"/>
                <w:szCs w:val="18"/>
              </w:rPr>
              <w:t>订单扣费的</w:t>
            </w:r>
            <w:proofErr w:type="gramEnd"/>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个人账户交易汇总</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用于查询个人平台账户具体充值退款消费信息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企业账户交易汇总</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用于查询企业平台账户具体充值退款消费信息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账户充值明细查询</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此报表用来展示所有充</w:t>
            </w:r>
            <w:proofErr w:type="gramStart"/>
            <w:r w:rsidRPr="00064B63">
              <w:rPr>
                <w:rFonts w:ascii="宋体" w:eastAsia="宋体" w:hAnsi="宋体" w:cs="宋体" w:hint="eastAsia"/>
                <w:color w:val="000000"/>
                <w:kern w:val="0"/>
                <w:sz w:val="18"/>
                <w:szCs w:val="18"/>
              </w:rPr>
              <w:t>值记录</w:t>
            </w:r>
            <w:proofErr w:type="gramEnd"/>
            <w:r w:rsidRPr="00064B63">
              <w:rPr>
                <w:rFonts w:ascii="宋体" w:eastAsia="宋体" w:hAnsi="宋体" w:cs="宋体" w:hint="eastAsia"/>
                <w:color w:val="000000"/>
                <w:kern w:val="0"/>
                <w:sz w:val="18"/>
                <w:szCs w:val="18"/>
              </w:rPr>
              <w:t>明细信息。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账户退款明细查询</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查询所有账户的退款信息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个人收退款</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个人充值退款</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运营人员可以通过这个功能处理针对个人账户发起充值和退款申请，并根据申请的结果来完成充值和退款操作。</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个人充</w:t>
            </w:r>
            <w:proofErr w:type="gramStart"/>
            <w:r w:rsidRPr="00064B63">
              <w:rPr>
                <w:rFonts w:ascii="宋体" w:eastAsia="宋体" w:hAnsi="宋体" w:cs="宋体" w:hint="eastAsia"/>
                <w:kern w:val="0"/>
                <w:sz w:val="18"/>
                <w:szCs w:val="18"/>
              </w:rPr>
              <w:t>值管理</w:t>
            </w:r>
            <w:proofErr w:type="gramEnd"/>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对个人充值订单进行管理</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个人充值审核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对个人充值订单进行审核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个人充值记账</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对个人充值订单进行记账</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个人退款管理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对个人退款订单进行管理</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个人退款审核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对个人退款订单进行审核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个人退款记账</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对个人退款订单进行记账</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企业收退款</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企业充值退款</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运营人员可以通过这个功能处理针对企业账户发起充值和退款申请，并根据申请的结果来完成充值和退款操作。</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企业充</w:t>
            </w:r>
            <w:proofErr w:type="gramStart"/>
            <w:r w:rsidRPr="00064B63">
              <w:rPr>
                <w:rFonts w:ascii="宋体" w:eastAsia="宋体" w:hAnsi="宋体" w:cs="宋体" w:hint="eastAsia"/>
                <w:kern w:val="0"/>
                <w:sz w:val="18"/>
                <w:szCs w:val="18"/>
              </w:rPr>
              <w:t>值管理</w:t>
            </w:r>
            <w:proofErr w:type="gramEnd"/>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对企业充值订单进行管理</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企业充值审核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对企业充值订单进行审核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企业充值记账</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对企业充值订单进行记账</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企业退款管理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对企业退款订单进行管理</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企业退款审核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对企业退款订单进行审核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企业退款记账</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对企业退款订单进行记账</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客</w:t>
            </w:r>
            <w:proofErr w:type="gramStart"/>
            <w:r w:rsidRPr="00064B63">
              <w:rPr>
                <w:rFonts w:ascii="宋体" w:eastAsia="宋体" w:hAnsi="宋体" w:cs="宋体" w:hint="eastAsia"/>
                <w:kern w:val="0"/>
                <w:sz w:val="18"/>
                <w:szCs w:val="18"/>
              </w:rPr>
              <w:t>服管理</w:t>
            </w:r>
            <w:proofErr w:type="gramEnd"/>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客</w:t>
            </w:r>
            <w:proofErr w:type="gramStart"/>
            <w:r w:rsidRPr="00064B63">
              <w:rPr>
                <w:rFonts w:ascii="宋体" w:eastAsia="宋体" w:hAnsi="宋体" w:cs="宋体" w:hint="eastAsia"/>
                <w:kern w:val="0"/>
                <w:sz w:val="18"/>
                <w:szCs w:val="18"/>
              </w:rPr>
              <w:t>服管理</w:t>
            </w:r>
            <w:proofErr w:type="gramEnd"/>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未支付订单一览</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用户未支付订单查询</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充电用户信息</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根据手机号查询用户信息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大数据服务</w:t>
            </w: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安全防护</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车辆主动防护分析</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根据企业客户，品牌，车型及车牌号等维度，按时间统计总订单数，主动防护订单分析，异常终止订单数分析。</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订单主动防护分析</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根据充电运营公司，品牌，车型及车架号等维度，按时间统计总订单数，主动防护/异常中止订单数，订单占比，充电设施数量，充电量等数据，并提供各种图例分析。</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充电分析明细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支持对充电订单进行统计，对安全防护订单的过程数据及异常参数进行联查确认。</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业务分析</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24小时分时功率分布</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按不同的维度，对24小时内充电功率及充电订单进行可视化展示，用于运营分析。</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电站需求功率满足率</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按不同的维度，对电站的需求功率，电流，电压及模块利用率情况，进行可视化分析展示。</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rPr>
                <w:rFonts w:ascii="宋体" w:eastAsia="宋体" w:hAnsi="宋体" w:cs="宋体"/>
                <w:kern w:val="0"/>
                <w:sz w:val="18"/>
                <w:szCs w:val="18"/>
              </w:rPr>
            </w:pPr>
            <w:r w:rsidRPr="00064B63">
              <w:rPr>
                <w:rFonts w:ascii="宋体" w:eastAsia="宋体" w:hAnsi="宋体" w:cs="宋体" w:hint="eastAsia"/>
                <w:kern w:val="0"/>
                <w:sz w:val="18"/>
                <w:szCs w:val="18"/>
              </w:rPr>
              <w:t>公共业务</w:t>
            </w: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内容管理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多终端运营活动配置</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维护app</w:t>
            </w:r>
            <w:proofErr w:type="gramStart"/>
            <w:r w:rsidRPr="00064B63">
              <w:rPr>
                <w:rFonts w:ascii="宋体" w:eastAsia="宋体" w:hAnsi="宋体" w:cs="宋体" w:hint="eastAsia"/>
                <w:color w:val="000000"/>
                <w:kern w:val="0"/>
                <w:sz w:val="18"/>
                <w:szCs w:val="18"/>
              </w:rPr>
              <w:t>端新闻及轮播图信息</w:t>
            </w:r>
            <w:proofErr w:type="gramEnd"/>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新闻内容管理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维护app端的新闻动态内容</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社交管理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系统信息管理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管理向客户端发送系统消息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反馈内容管理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处理用户反馈的信息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电站评论管理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管理和维护充电用户对电站的评论信息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私信组管理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管理和查看充电用户间的私信内容</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系统管理</w:t>
            </w: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系统管理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我的商户</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自定义管理商户的访问入口定制UI，查看平台合作签约信息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我的用户</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自定义管理平台用户，维护用户权限，增删用户人员</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用户行为记录</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支持查询导出平台用户的操作访问记录</w:t>
            </w:r>
          </w:p>
        </w:tc>
      </w:tr>
    </w:tbl>
    <w:p w:rsidR="00064B63" w:rsidRPr="00064B63" w:rsidRDefault="00064B63" w:rsidP="00064B63">
      <w:pPr>
        <w:spacing w:line="360" w:lineRule="auto"/>
        <w:rPr>
          <w:rFonts w:ascii="宋体" w:eastAsia="宋体" w:hAnsi="宋体" w:cs="宋体"/>
          <w:caps/>
          <w:kern w:val="0"/>
          <w:szCs w:val="21"/>
        </w:rPr>
      </w:pP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bookmarkStart w:id="16" w:name="_Toc90480355"/>
      <w:bookmarkStart w:id="17" w:name="_Toc90403025"/>
      <w:bookmarkStart w:id="18" w:name="_Toc109049678"/>
      <w:bookmarkStart w:id="19" w:name="_Toc53664668"/>
      <w:bookmarkStart w:id="20" w:name="_Toc481998764"/>
      <w:r w:rsidRPr="00064B63">
        <w:rPr>
          <w:rFonts w:ascii="宋体" w:eastAsia="宋体" w:hAnsi="宋体" w:cs="宋体" w:hint="eastAsia"/>
          <w:szCs w:val="21"/>
        </w:rPr>
        <w:t>技术性能需求</w:t>
      </w:r>
      <w:bookmarkEnd w:id="16"/>
      <w:bookmarkEnd w:id="17"/>
      <w:bookmarkEnd w:id="18"/>
      <w:bookmarkEnd w:id="19"/>
      <w:bookmarkEnd w:id="20"/>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caps/>
          <w:kern w:val="0"/>
          <w:szCs w:val="21"/>
        </w:rPr>
        <w:t>为了保证系统能够长期、安全、稳定、可靠、高效的运行，需满足以下性能需求：</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caps/>
          <w:kern w:val="0"/>
          <w:szCs w:val="21"/>
        </w:rPr>
        <w:t>1）操作简单：普通操作人员经简单培训就可操作，或者参考简明手册就可方便操作。</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caps/>
          <w:kern w:val="0"/>
          <w:szCs w:val="21"/>
        </w:rPr>
        <w:t>2）功能完善：系统能够完成设计要求的所有分类统计、模糊查询、分析等功能操作，同时具有良好的运行速度和稳定性，有较高的数据承载能力，在网络稳定的环境下，</w:t>
      </w:r>
      <w:r w:rsidRPr="00064B63">
        <w:rPr>
          <w:rFonts w:ascii="宋体" w:eastAsia="宋体" w:hAnsi="宋体" w:cs="宋体" w:hint="eastAsia"/>
          <w:caps/>
          <w:kern w:val="0"/>
          <w:szCs w:val="21"/>
        </w:rPr>
        <w:lastRenderedPageBreak/>
        <w:t>单一界面操作的系统操作响应时间应小于5秒。</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caps/>
          <w:kern w:val="0"/>
          <w:szCs w:val="21"/>
        </w:rPr>
        <w:t>3）易于管理：系统查询、分析、统计流程可后台定制化，统计报表可通过流程设计界面自定义、无需重新编程，维护方便，能够方便快速的利用已有基础数据。系统必须是构件化、面向对象的，以及可实现未来自定义业务管理功能、统计分析管理辅助功能的升级、扩展，对一些后续性的功能，能够方便进行扩充或者二次开发。</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caps/>
          <w:kern w:val="0"/>
          <w:szCs w:val="21"/>
        </w:rPr>
        <w:t>4）信息量要求：本期项目的主要数据来源为电站上报的充电基础设施运行数据，数据内容主要为关系型数据、GIS数据等信息。要求系统能满足负荷2000个充电基础设施的能力。</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caps/>
          <w:kern w:val="0"/>
          <w:szCs w:val="21"/>
        </w:rPr>
        <w:t>5）投标人的充电系统具备安全防护及监控能力,可出具车辆安全报告。</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szCs w:val="21"/>
        </w:rPr>
        <w:t xml:space="preserve">▲ </w:t>
      </w:r>
      <w:r w:rsidRPr="00064B63">
        <w:rPr>
          <w:rFonts w:ascii="宋体" w:eastAsia="宋体" w:hAnsi="宋体" w:cs="宋体" w:hint="eastAsia"/>
          <w:caps/>
          <w:kern w:val="0"/>
          <w:szCs w:val="21"/>
        </w:rPr>
        <w:t>6）平台可以远程采集并传送运行各种电气量和负荷潮流、远程采集并传送各种保护和开关量信息、远程控制开关控制设备、远程调节充电机输出功率、远程动态实时监控信息。</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szCs w:val="21"/>
        </w:rPr>
        <w:t>▲</w:t>
      </w:r>
      <w:r w:rsidRPr="00064B63">
        <w:rPr>
          <w:rFonts w:ascii="宋体" w:eastAsia="宋体" w:hAnsi="宋体" w:cs="宋体" w:hint="eastAsia"/>
          <w:caps/>
          <w:kern w:val="0"/>
          <w:szCs w:val="21"/>
        </w:rPr>
        <w:t>7）投标产品的充电安全防护系统具备以下多种防护模型:①电池内阻估算模型;②电池不均衡预警模型;③电池容量估算模型;④电池容量衰减预警模型;⑤车辆安全评分模型;⑥限制充电保护模型:⑦高危车辆判定模型:⑧电池检测故障诊断模型:⑨车型多维对比模型;⑩用户充电行为分析模型等功能。</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szCs w:val="21"/>
        </w:rPr>
        <w:t>▲</w:t>
      </w:r>
      <w:r w:rsidRPr="00064B63">
        <w:rPr>
          <w:rFonts w:ascii="宋体" w:eastAsia="宋体" w:hAnsi="宋体" w:cs="宋体" w:hint="eastAsia"/>
          <w:caps/>
          <w:kern w:val="0"/>
          <w:szCs w:val="21"/>
        </w:rPr>
        <w:t>8）充电运营管理平台具备采集充电过程中BMS电池数据的功能，包括BMS握手阶段、BMS参数配置阶段、BMS充电结束阶段等。</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szCs w:val="21"/>
        </w:rPr>
        <w:t xml:space="preserve"> </w:t>
      </w:r>
      <w:r w:rsidRPr="00064B63">
        <w:rPr>
          <w:rFonts w:ascii="宋体" w:eastAsia="宋体" w:hAnsi="宋体" w:cs="宋体" w:hint="eastAsia"/>
          <w:caps/>
          <w:kern w:val="0"/>
          <w:szCs w:val="21"/>
        </w:rPr>
        <w:t>9）充电运营管理平台具备 7*24 小时连续无障碍运行的能力，平台可用率达到100%，日均不可用时间小于1秒。</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szCs w:val="21"/>
        </w:rPr>
        <w:t>▲</w:t>
      </w:r>
      <w:r w:rsidRPr="00064B63">
        <w:rPr>
          <w:rFonts w:ascii="宋体" w:eastAsia="宋体" w:hAnsi="宋体" w:cs="宋体" w:hint="eastAsia"/>
          <w:caps/>
          <w:kern w:val="0"/>
          <w:szCs w:val="21"/>
        </w:rPr>
        <w:t>10）充电运营管理平台在单用户选择日期范围搜索不大于1000条运营统计数据操作，事务平均响应时间＜30毫秒，事务成功率为100%，CPU占用率＜1%，内存占用率＜1%。</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bookmarkStart w:id="21" w:name="_Toc481998765"/>
      <w:bookmarkStart w:id="22" w:name="_Toc53664669"/>
      <w:bookmarkStart w:id="23" w:name="_Toc90480356"/>
      <w:bookmarkStart w:id="24" w:name="_Toc109049679"/>
      <w:bookmarkStart w:id="25" w:name="_Toc90403026"/>
      <w:r w:rsidRPr="00064B63">
        <w:rPr>
          <w:rFonts w:ascii="宋体" w:eastAsia="宋体" w:hAnsi="宋体" w:cs="宋体" w:hint="eastAsia"/>
          <w:szCs w:val="21"/>
        </w:rPr>
        <w:t>管理需求</w:t>
      </w:r>
      <w:bookmarkEnd w:id="21"/>
      <w:bookmarkEnd w:id="22"/>
      <w:bookmarkEnd w:id="23"/>
      <w:bookmarkEnd w:id="24"/>
      <w:bookmarkEnd w:id="25"/>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caps/>
          <w:kern w:val="0"/>
          <w:szCs w:val="21"/>
        </w:rPr>
        <w:t>需要实现的系统管理需求如下：</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t>1）拥有完善的用户权限管理功能，对数据调阅、原始数据下载提供权限设置；</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t>2）实现强大的权限设定功能；</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t>3）实现用户权限及用户访问范围的设定；</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t>4）实现日常管理维护及功能使用的详细操作日志管理；</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t>5）实现下载操作人员的使用内容、时间、数据容量等基础信息统计；</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lastRenderedPageBreak/>
        <w:t>6）经办人员的具体使用记录其上级主管可实现监控及管理；</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t>7）实现自定义统计分析模块的定期更新和系统功能平滑在线升级（</w:t>
      </w:r>
      <w:proofErr w:type="gramStart"/>
      <w:r w:rsidRPr="00064B63">
        <w:rPr>
          <w:rFonts w:ascii="宋体" w:eastAsia="宋体" w:hAnsi="宋体" w:cs="宋体" w:hint="eastAsia"/>
          <w:caps/>
          <w:kern w:val="0"/>
          <w:szCs w:val="21"/>
        </w:rPr>
        <w:t>不</w:t>
      </w:r>
      <w:proofErr w:type="gramEnd"/>
      <w:r w:rsidRPr="00064B63">
        <w:rPr>
          <w:rFonts w:ascii="宋体" w:eastAsia="宋体" w:hAnsi="宋体" w:cs="宋体" w:hint="eastAsia"/>
          <w:caps/>
          <w:kern w:val="0"/>
          <w:szCs w:val="21"/>
        </w:rPr>
        <w:t>停机状态）；</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t>8）实现以所有操作日志的自动定期离线数据下载备份管理和下载后定时清空；</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t>9）系统升级后对系统管理、后台维护和业务部门进行分类使用培训。</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bookmarkStart w:id="26" w:name="_Toc90480357"/>
      <w:bookmarkStart w:id="27" w:name="_Toc481998766"/>
      <w:bookmarkStart w:id="28" w:name="_Toc53664670"/>
      <w:bookmarkStart w:id="29" w:name="_Toc90403027"/>
      <w:bookmarkStart w:id="30" w:name="_Toc109049680"/>
      <w:r w:rsidRPr="00064B63">
        <w:rPr>
          <w:rFonts w:ascii="宋体" w:eastAsia="宋体" w:hAnsi="宋体" w:cs="宋体" w:hint="eastAsia"/>
          <w:szCs w:val="21"/>
        </w:rPr>
        <w:t>安全需求</w:t>
      </w:r>
      <w:bookmarkEnd w:id="26"/>
      <w:bookmarkEnd w:id="27"/>
      <w:bookmarkEnd w:id="28"/>
      <w:bookmarkEnd w:id="29"/>
      <w:bookmarkEnd w:id="30"/>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系统可用性：平台提供7天×24 小时的连续运行保障，系统具有操作授权及权限控制，并提供操作日志管理功能。</w:t>
      </w:r>
    </w:p>
    <w:p w:rsidR="00064B63" w:rsidRPr="00064B63" w:rsidRDefault="00064B63" w:rsidP="00064B63">
      <w:pPr>
        <w:numPr>
          <w:ilvl w:val="0"/>
          <w:numId w:val="12"/>
        </w:num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功能完善：系统应具备完善全面的充电服务相关功能，以及数据分析、模糊查询等操作。</w:t>
      </w:r>
    </w:p>
    <w:p w:rsidR="00064B63" w:rsidRPr="00064B63" w:rsidRDefault="00064B63" w:rsidP="00064B63">
      <w:pPr>
        <w:numPr>
          <w:ilvl w:val="0"/>
          <w:numId w:val="12"/>
        </w:num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更新能力：系统应具备根据不断发展的实际业务场景进行更新的能力，保证平台活性，满足不同的业务需求。</w:t>
      </w:r>
    </w:p>
    <w:p w:rsidR="00064B63" w:rsidRPr="00064B63" w:rsidRDefault="00064B63" w:rsidP="00064B63">
      <w:pPr>
        <w:numPr>
          <w:ilvl w:val="0"/>
          <w:numId w:val="12"/>
        </w:num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易用性：功能页面操作、查询，报表查询、导出等常用操作，响应迅速，方便业务人员操作。可扩展性：应具有先进的数据库设计，以应对可能因业务增长带来的扩容需求。</w:t>
      </w:r>
    </w:p>
    <w:p w:rsidR="00064B63" w:rsidRPr="00064B63" w:rsidRDefault="00064B63" w:rsidP="00064B63">
      <w:pPr>
        <w:numPr>
          <w:ilvl w:val="0"/>
          <w:numId w:val="12"/>
        </w:num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稳定性：应具备分布式部署能力，确保平台稳定性。</w:t>
      </w:r>
    </w:p>
    <w:p w:rsidR="00064B63" w:rsidRPr="00064B63" w:rsidRDefault="00064B63" w:rsidP="00064B63">
      <w:pPr>
        <w:numPr>
          <w:ilvl w:val="0"/>
          <w:numId w:val="12"/>
        </w:num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数据共享：平台应具备用于对接其他系统的API接口，支持接入到政府新能源监管平台等其他系统。所配备、开发的接口应满足《T/CEC 102.1-2016 电动汽车充换电服务信息交换 第1部分:总则》、《T/CEC 102.2-2016 电动汽车充换电服务信息交换 第2部分: 公共信息交换规范》、《T/CEC 102.3-2016 电动汽车充换电服务信息交换 第3部分: 业务信息交换规范》和《T/CEC 102.4-2016 电动汽车充换电服务信息交换 第4部分: 数据传输及安全》。通过接口可对接的数据包括但不限于：充电站的动、静态数据；充电设备的动、静态数据；订单数据等，且可通过接口实现控制充电设备的启动和停止。</w:t>
      </w:r>
    </w:p>
    <w:p w:rsidR="00064B63" w:rsidRPr="00064B63" w:rsidRDefault="00064B63" w:rsidP="00064B63">
      <w:pPr>
        <w:numPr>
          <w:ilvl w:val="0"/>
          <w:numId w:val="12"/>
        </w:num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厂家提供的充电设备及平台未出现过重大安全事故、不存在违规收集、使用个人信息，未被国家相关部门通报过。</w:t>
      </w:r>
    </w:p>
    <w:p w:rsidR="00F87FE0" w:rsidRDefault="00064B63" w:rsidP="00F87FE0">
      <w:pPr>
        <w:numPr>
          <w:ilvl w:val="0"/>
          <w:numId w:val="12"/>
        </w:numPr>
        <w:spacing w:line="360" w:lineRule="auto"/>
        <w:ind w:firstLineChars="200" w:firstLine="420"/>
        <w:rPr>
          <w:rFonts w:ascii="宋体" w:eastAsia="宋体" w:hAnsi="宋体" w:cs="宋体" w:hint="eastAsia"/>
          <w:szCs w:val="21"/>
        </w:rPr>
      </w:pPr>
      <w:r w:rsidRPr="00064B63">
        <w:rPr>
          <w:rFonts w:ascii="宋体" w:eastAsia="宋体" w:hAnsi="宋体" w:cs="宋体" w:hint="eastAsia"/>
          <w:szCs w:val="21"/>
        </w:rPr>
        <w:t>服务方在开发过程中应及时整理和制定各类技术文档资料、编写培训教材，并提供技术培训，包括但不限于系统操作使用培训。</w:t>
      </w:r>
    </w:p>
    <w:p w:rsidR="00064B63" w:rsidRPr="00F87FE0" w:rsidRDefault="00064B63" w:rsidP="00F87FE0">
      <w:pPr>
        <w:numPr>
          <w:ilvl w:val="0"/>
          <w:numId w:val="12"/>
        </w:numPr>
        <w:spacing w:line="360" w:lineRule="auto"/>
        <w:ind w:firstLineChars="200" w:firstLine="420"/>
        <w:rPr>
          <w:rFonts w:ascii="宋体" w:eastAsia="宋体" w:hAnsi="宋体" w:cs="宋体"/>
          <w:szCs w:val="21"/>
        </w:rPr>
      </w:pPr>
      <w:r w:rsidRPr="00F87FE0">
        <w:rPr>
          <w:rFonts w:ascii="宋体" w:eastAsia="宋体" w:hAnsi="宋体" w:cs="宋体" w:hint="eastAsia"/>
          <w:szCs w:val="21"/>
        </w:rPr>
        <w:t>服务方需提供合理高效的系统实施方案。方案应包括项目进度管理、项目风险管理、技术措施和实施办法等。</w:t>
      </w:r>
    </w:p>
    <w:sectPr w:rsidR="00064B63" w:rsidRPr="00F87FE0" w:rsidSect="005244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FA4" w:rsidRDefault="00B31FA4" w:rsidP="00D05E76">
      <w:r>
        <w:separator/>
      </w:r>
    </w:p>
  </w:endnote>
  <w:endnote w:type="continuationSeparator" w:id="0">
    <w:p w:rsidR="00B31FA4" w:rsidRDefault="00B31FA4" w:rsidP="00D05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宋体"/>
    <w:charset w:val="00"/>
    <w:family w:val="auto"/>
    <w:pitch w:val="default"/>
    <w:sig w:usb0="00000000" w:usb1="00000000" w:usb2="00000000" w:usb3="00000000" w:csb0="00040001" w:csb1="00000000"/>
  </w:font>
  <w:font w:name="Noto Sans CJK JP Black">
    <w:altName w:val="Segoe Print"/>
    <w:charset w:val="00"/>
    <w:family w:val="swiss"/>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FA4" w:rsidRDefault="00B31FA4" w:rsidP="00D05E76">
      <w:r>
        <w:separator/>
      </w:r>
    </w:p>
  </w:footnote>
  <w:footnote w:type="continuationSeparator" w:id="0">
    <w:p w:rsidR="00B31FA4" w:rsidRDefault="00B31FA4" w:rsidP="00D05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5651E4"/>
    <w:multiLevelType w:val="singleLevel"/>
    <w:tmpl w:val="B95651E4"/>
    <w:lvl w:ilvl="0">
      <w:start w:val="1"/>
      <w:numFmt w:val="decimal"/>
      <w:suff w:val="nothing"/>
      <w:lvlText w:val="%1）"/>
      <w:lvlJc w:val="left"/>
    </w:lvl>
  </w:abstractNum>
  <w:abstractNum w:abstractNumId="1">
    <w:nsid w:val="C4247D91"/>
    <w:multiLevelType w:val="singleLevel"/>
    <w:tmpl w:val="C4247D91"/>
    <w:lvl w:ilvl="0">
      <w:start w:val="1"/>
      <w:numFmt w:val="decimal"/>
      <w:suff w:val="nothing"/>
      <w:lvlText w:val="%1、"/>
      <w:lvlJc w:val="left"/>
      <w:rPr>
        <w:rFonts w:hint="default"/>
        <w:highlight w:val="none"/>
      </w:rPr>
    </w:lvl>
  </w:abstractNum>
  <w:abstractNum w:abstractNumId="2">
    <w:nsid w:val="0EF8624E"/>
    <w:multiLevelType w:val="hybridMultilevel"/>
    <w:tmpl w:val="26A04642"/>
    <w:lvl w:ilvl="0" w:tplc="59C43FAC">
      <w:start w:val="5"/>
      <w:numFmt w:val="japaneseCounting"/>
      <w:lvlText w:val="（%1）"/>
      <w:lvlJc w:val="left"/>
      <w:pPr>
        <w:ind w:left="2214" w:hanging="10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3">
    <w:nsid w:val="1CBA7037"/>
    <w:multiLevelType w:val="singleLevel"/>
    <w:tmpl w:val="1CBA7037"/>
    <w:lvl w:ilvl="0">
      <w:start w:val="1"/>
      <w:numFmt w:val="decimal"/>
      <w:suff w:val="nothing"/>
      <w:lvlText w:val="（%1）"/>
      <w:lvlJc w:val="left"/>
    </w:lvl>
  </w:abstractNum>
  <w:abstractNum w:abstractNumId="4">
    <w:nsid w:val="20D70671"/>
    <w:multiLevelType w:val="multilevel"/>
    <w:tmpl w:val="4D7615B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pStyle w:val="4"/>
      <w:lvlText w:val="%4."/>
      <w:lvlJc w:val="left"/>
      <w:pPr>
        <w:tabs>
          <w:tab w:val="num" w:pos="2880"/>
        </w:tabs>
        <w:ind w:left="2880" w:hanging="360"/>
      </w:pPr>
    </w:lvl>
    <w:lvl w:ilvl="4">
      <w:start w:val="1"/>
      <w:numFmt w:val="decimal"/>
      <w:pStyle w:val="5"/>
      <w:lvlText w:val="%5."/>
      <w:lvlJc w:val="left"/>
      <w:pPr>
        <w:tabs>
          <w:tab w:val="num" w:pos="3600"/>
        </w:tabs>
        <w:ind w:left="3600" w:hanging="360"/>
      </w:pPr>
    </w:lvl>
    <w:lvl w:ilvl="5">
      <w:start w:val="1"/>
      <w:numFmt w:val="decimal"/>
      <w:pStyle w:val="6"/>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88D76CE"/>
    <w:multiLevelType w:val="singleLevel"/>
    <w:tmpl w:val="288D76CE"/>
    <w:lvl w:ilvl="0">
      <w:start w:val="7"/>
      <w:numFmt w:val="chineseCounting"/>
      <w:suff w:val="space"/>
      <w:lvlText w:val="第%1部分"/>
      <w:lvlJc w:val="left"/>
      <w:rPr>
        <w:rFonts w:hint="eastAsia"/>
      </w:rPr>
    </w:lvl>
  </w:abstractNum>
  <w:abstractNum w:abstractNumId="6">
    <w:nsid w:val="3658FAA6"/>
    <w:multiLevelType w:val="singleLevel"/>
    <w:tmpl w:val="3658FAA6"/>
    <w:lvl w:ilvl="0">
      <w:start w:val="1"/>
      <w:numFmt w:val="decimal"/>
      <w:suff w:val="space"/>
      <w:lvlText w:val="(%1)"/>
      <w:lvlJc w:val="left"/>
    </w:lvl>
  </w:abstractNum>
  <w:abstractNum w:abstractNumId="7">
    <w:nsid w:val="41E94C8F"/>
    <w:multiLevelType w:val="hybridMultilevel"/>
    <w:tmpl w:val="90A22B62"/>
    <w:lvl w:ilvl="0" w:tplc="FE408E9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45E808D0"/>
    <w:multiLevelType w:val="multilevel"/>
    <w:tmpl w:val="45E808D0"/>
    <w:lvl w:ilvl="0">
      <w:start w:val="1"/>
      <w:numFmt w:val="chineseCountingThousand"/>
      <w:suff w:val="space"/>
      <w:lvlText w:val="%1"/>
      <w:lvlJc w:val="left"/>
      <w:pPr>
        <w:ind w:left="0" w:firstLine="0"/>
      </w:pPr>
      <w:rPr>
        <w:rFonts w:hint="eastAsia"/>
      </w:rPr>
    </w:lvl>
    <w:lvl w:ilvl="1">
      <w:start w:val="1"/>
      <w:numFmt w:val="decimal"/>
      <w:suff w:val="space"/>
      <w:lvlText w:val="%2"/>
      <w:lvlJc w:val="left"/>
      <w:pPr>
        <w:ind w:left="0" w:firstLine="0"/>
      </w:pPr>
      <w:rPr>
        <w:rFonts w:hint="eastAsia"/>
      </w:rPr>
    </w:lvl>
    <w:lvl w:ilvl="2">
      <w:start w:val="1"/>
      <w:numFmt w:val="decimal"/>
      <w:suff w:val="space"/>
      <w:lvlText w:val="%2.%3"/>
      <w:lvlJc w:val="left"/>
      <w:pPr>
        <w:ind w:left="0" w:firstLine="0"/>
      </w:pPr>
      <w:rPr>
        <w:rFonts w:hint="eastAsia"/>
      </w:rPr>
    </w:lvl>
    <w:lvl w:ilvl="3">
      <w:start w:val="1"/>
      <w:numFmt w:val="decimal"/>
      <w:suff w:val="space"/>
      <w:lvlText w:val="%2.%3.%4"/>
      <w:lvlJc w:val="left"/>
      <w:pPr>
        <w:ind w:left="0" w:firstLine="0"/>
      </w:pPr>
      <w:rPr>
        <w:rFonts w:hint="eastAsia"/>
      </w:rPr>
    </w:lvl>
    <w:lvl w:ilvl="4">
      <w:start w:val="1"/>
      <w:numFmt w:val="decimal"/>
      <w:suff w:val="space"/>
      <w:lvlText w:val="%2.%3.%4.%5"/>
      <w:lvlJc w:val="left"/>
      <w:pPr>
        <w:ind w:left="0" w:firstLine="0"/>
      </w:pPr>
      <w:rPr>
        <w:rFonts w:hint="eastAsia"/>
      </w:rPr>
    </w:lvl>
    <w:lvl w:ilvl="5">
      <w:start w:val="1"/>
      <w:numFmt w:val="decimal"/>
      <w:suff w:val="space"/>
      <w:lvlText w:val="%2.%3.%4.%5.%6"/>
      <w:lvlJc w:val="left"/>
      <w:pPr>
        <w:ind w:left="0" w:firstLine="0"/>
      </w:pPr>
      <w:rPr>
        <w:rFonts w:hint="eastAsia"/>
      </w:rPr>
    </w:lvl>
    <w:lvl w:ilvl="6">
      <w:start w:val="1"/>
      <w:numFmt w:val="decimal"/>
      <w:suff w:val="space"/>
      <w:lvlText w:val="%2.%3.%4.%5.%6.%7"/>
      <w:lvlJc w:val="left"/>
      <w:pPr>
        <w:ind w:left="0" w:firstLine="0"/>
      </w:pPr>
      <w:rPr>
        <w:rFonts w:hint="eastAsia"/>
      </w:rPr>
    </w:lvl>
    <w:lvl w:ilvl="7">
      <w:start w:val="1"/>
      <w:numFmt w:val="decimal"/>
      <w:suff w:val="space"/>
      <w:lvlText w:val="%2.%3.%4.%5.%6.%7.%8"/>
      <w:lvlJc w:val="left"/>
      <w:pPr>
        <w:ind w:left="0" w:firstLine="0"/>
      </w:pPr>
      <w:rPr>
        <w:rFonts w:hint="eastAsia"/>
      </w:rPr>
    </w:lvl>
    <w:lvl w:ilvl="8">
      <w:start w:val="1"/>
      <w:numFmt w:val="decimal"/>
      <w:suff w:val="space"/>
      <w:lvlText w:val="%2.%3.%4.%5.%6.%7.%8.%9"/>
      <w:lvlJc w:val="left"/>
      <w:pPr>
        <w:ind w:left="0" w:firstLine="0"/>
      </w:pPr>
      <w:rPr>
        <w:rFonts w:hint="eastAsia"/>
      </w:rPr>
    </w:lvl>
  </w:abstractNum>
  <w:abstractNum w:abstractNumId="9">
    <w:nsid w:val="5673783F"/>
    <w:multiLevelType w:val="singleLevel"/>
    <w:tmpl w:val="5673783F"/>
    <w:lvl w:ilvl="0">
      <w:start w:val="1"/>
      <w:numFmt w:val="decimal"/>
      <w:suff w:val="nothing"/>
      <w:lvlText w:val="%1、"/>
      <w:lvlJc w:val="left"/>
    </w:lvl>
  </w:abstractNum>
  <w:abstractNum w:abstractNumId="10">
    <w:nsid w:val="5E35660E"/>
    <w:multiLevelType w:val="singleLevel"/>
    <w:tmpl w:val="5E35660E"/>
    <w:lvl w:ilvl="0">
      <w:start w:val="2"/>
      <w:numFmt w:val="chineseCounting"/>
      <w:suff w:val="nothing"/>
      <w:lvlText w:val="%1、"/>
      <w:lvlJc w:val="left"/>
      <w:rPr>
        <w:rFonts w:hint="eastAsia"/>
      </w:rPr>
    </w:lvl>
  </w:abstractNum>
  <w:abstractNum w:abstractNumId="11">
    <w:nsid w:val="62BF03F3"/>
    <w:multiLevelType w:val="hybridMultilevel"/>
    <w:tmpl w:val="001EC89A"/>
    <w:lvl w:ilvl="0" w:tplc="0172CA14">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6"/>
  </w:num>
  <w:num w:numId="7">
    <w:abstractNumId w:val="3"/>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5E76"/>
    <w:rsid w:val="00064B63"/>
    <w:rsid w:val="00073DAD"/>
    <w:rsid w:val="000D776A"/>
    <w:rsid w:val="00194664"/>
    <w:rsid w:val="00273BA9"/>
    <w:rsid w:val="0030719A"/>
    <w:rsid w:val="00377F5F"/>
    <w:rsid w:val="00421DEF"/>
    <w:rsid w:val="004468DA"/>
    <w:rsid w:val="00451B5B"/>
    <w:rsid w:val="004F0C65"/>
    <w:rsid w:val="00524484"/>
    <w:rsid w:val="005C01C6"/>
    <w:rsid w:val="005C187E"/>
    <w:rsid w:val="005C5330"/>
    <w:rsid w:val="00667E3E"/>
    <w:rsid w:val="00700D23"/>
    <w:rsid w:val="007037DA"/>
    <w:rsid w:val="007503BB"/>
    <w:rsid w:val="007A1645"/>
    <w:rsid w:val="008048CC"/>
    <w:rsid w:val="008233C8"/>
    <w:rsid w:val="008848E2"/>
    <w:rsid w:val="008C5B37"/>
    <w:rsid w:val="009374D6"/>
    <w:rsid w:val="0095353D"/>
    <w:rsid w:val="009A5EA4"/>
    <w:rsid w:val="009D31BC"/>
    <w:rsid w:val="00AF42EA"/>
    <w:rsid w:val="00B31FA4"/>
    <w:rsid w:val="00B3263C"/>
    <w:rsid w:val="00B70EE1"/>
    <w:rsid w:val="00B947B5"/>
    <w:rsid w:val="00D05E76"/>
    <w:rsid w:val="00D1380E"/>
    <w:rsid w:val="00D668C2"/>
    <w:rsid w:val="00DB4B52"/>
    <w:rsid w:val="00DF5081"/>
    <w:rsid w:val="00ED5473"/>
    <w:rsid w:val="00F22BC1"/>
    <w:rsid w:val="00F87F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header" w:uiPriority="0"/>
    <w:lsdException w:name="footer" w:uiPriority="0"/>
    <w:lsdException w:name="caption" w:uiPriority="35" w:qFormat="1"/>
    <w:lsdException w:name="envelope retur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Message Header" w:qFormat="1"/>
    <w:lsdException w:name="Subtitle" w:semiHidden="0" w:uiPriority="11" w:unhideWhenUsed="0" w:qFormat="1"/>
    <w:lsdException w:name="Date" w:uiPriority="0"/>
    <w:lsdException w:name="Body Text First Indent" w:uiPriority="0" w:qFormat="1"/>
    <w:lsdException w:name="Body Text First Indent 2" w:uiPriority="0" w:qFormat="1"/>
    <w:lsdException w:name="Body Text 3" w:uiPriority="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Variable"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484"/>
    <w:pPr>
      <w:widowControl w:val="0"/>
      <w:jc w:val="both"/>
    </w:pPr>
  </w:style>
  <w:style w:type="paragraph" w:styleId="1">
    <w:name w:val="heading 1"/>
    <w:basedOn w:val="a"/>
    <w:next w:val="a"/>
    <w:link w:val="1Char"/>
    <w:qFormat/>
    <w:rsid w:val="00064B63"/>
    <w:pPr>
      <w:keepNext/>
      <w:keepLines/>
      <w:widowControl/>
      <w:spacing w:before="340" w:after="330" w:line="576" w:lineRule="auto"/>
      <w:jc w:val="center"/>
      <w:outlineLvl w:val="0"/>
    </w:pPr>
    <w:rPr>
      <w:rFonts w:ascii="Times New Roman" w:eastAsia="宋体" w:hAnsi="Times New Roman" w:cs="Times New Roman"/>
      <w:b/>
      <w:bCs/>
      <w:kern w:val="44"/>
      <w:sz w:val="36"/>
      <w:szCs w:val="44"/>
    </w:rPr>
  </w:style>
  <w:style w:type="paragraph" w:styleId="2">
    <w:name w:val="heading 2"/>
    <w:basedOn w:val="a"/>
    <w:next w:val="a0"/>
    <w:link w:val="2Char"/>
    <w:qFormat/>
    <w:rsid w:val="00064B63"/>
    <w:pPr>
      <w:keepNext/>
      <w:keepLines/>
      <w:spacing w:before="260" w:after="260" w:line="416" w:lineRule="auto"/>
      <w:outlineLvl w:val="1"/>
    </w:pPr>
    <w:rPr>
      <w:rFonts w:ascii="Arial" w:eastAsia="黑体" w:hAnsi="Arial" w:cs="Times New Roman"/>
      <w:b/>
      <w:bCs/>
      <w:sz w:val="36"/>
      <w:szCs w:val="32"/>
    </w:rPr>
  </w:style>
  <w:style w:type="paragraph" w:styleId="3">
    <w:name w:val="heading 3"/>
    <w:basedOn w:val="a"/>
    <w:next w:val="a"/>
    <w:link w:val="3Char"/>
    <w:qFormat/>
    <w:rsid w:val="00064B63"/>
    <w:pPr>
      <w:keepNext/>
      <w:autoSpaceDE w:val="0"/>
      <w:autoSpaceDN w:val="0"/>
      <w:jc w:val="center"/>
      <w:outlineLvl w:val="2"/>
    </w:pPr>
    <w:rPr>
      <w:rFonts w:ascii="Calibri" w:eastAsia="宋体" w:hAnsi="Calibri" w:cs="Times New Roman"/>
      <w:kern w:val="0"/>
      <w:szCs w:val="24"/>
    </w:rPr>
  </w:style>
  <w:style w:type="paragraph" w:styleId="4">
    <w:name w:val="heading 4"/>
    <w:basedOn w:val="a"/>
    <w:next w:val="a"/>
    <w:link w:val="4Char"/>
    <w:uiPriority w:val="9"/>
    <w:qFormat/>
    <w:rsid w:val="00064B63"/>
    <w:pPr>
      <w:keepNext/>
      <w:keepLines/>
      <w:numPr>
        <w:ilvl w:val="3"/>
        <w:numId w:val="1"/>
      </w:numPr>
      <w:spacing w:line="360" w:lineRule="auto"/>
      <w:outlineLvl w:val="3"/>
    </w:pPr>
    <w:rPr>
      <w:rFonts w:ascii="Calibri" w:eastAsia="宋体" w:hAnsi="Cambria" w:cs="Times New Roman"/>
      <w:b/>
      <w:bCs/>
      <w:sz w:val="28"/>
      <w:szCs w:val="28"/>
    </w:rPr>
  </w:style>
  <w:style w:type="paragraph" w:styleId="5">
    <w:name w:val="heading 5"/>
    <w:basedOn w:val="a"/>
    <w:link w:val="5Char"/>
    <w:uiPriority w:val="9"/>
    <w:qFormat/>
    <w:rsid w:val="00064B63"/>
    <w:pPr>
      <w:keepNext/>
      <w:keepLines/>
      <w:numPr>
        <w:ilvl w:val="4"/>
        <w:numId w:val="1"/>
      </w:numPr>
      <w:spacing w:line="360" w:lineRule="auto"/>
      <w:outlineLvl w:val="4"/>
    </w:pPr>
    <w:rPr>
      <w:rFonts w:ascii="Calibri" w:eastAsia="宋体" w:hAnsi="Calibri" w:cs="Times New Roman"/>
      <w:b/>
      <w:bCs/>
      <w:sz w:val="28"/>
      <w:szCs w:val="28"/>
    </w:rPr>
  </w:style>
  <w:style w:type="paragraph" w:styleId="6">
    <w:name w:val="heading 6"/>
    <w:basedOn w:val="a"/>
    <w:link w:val="6Char"/>
    <w:uiPriority w:val="9"/>
    <w:qFormat/>
    <w:rsid w:val="00064B63"/>
    <w:pPr>
      <w:keepNext/>
      <w:keepLines/>
      <w:numPr>
        <w:ilvl w:val="5"/>
        <w:numId w:val="1"/>
      </w:numPr>
      <w:spacing w:line="360" w:lineRule="auto"/>
      <w:outlineLvl w:val="5"/>
    </w:pPr>
    <w:rPr>
      <w:rFonts w:ascii="Calibri" w:eastAsia="宋体" w:hAnsi="Cambria" w:cs="Times New Roman"/>
      <w:b/>
      <w:bCs/>
      <w:sz w:val="2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D05E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D05E76"/>
    <w:rPr>
      <w:sz w:val="18"/>
      <w:szCs w:val="18"/>
    </w:rPr>
  </w:style>
  <w:style w:type="paragraph" w:styleId="a5">
    <w:name w:val="footer"/>
    <w:basedOn w:val="a"/>
    <w:link w:val="Char0"/>
    <w:unhideWhenUsed/>
    <w:rsid w:val="00D05E76"/>
    <w:pPr>
      <w:tabs>
        <w:tab w:val="center" w:pos="4153"/>
        <w:tab w:val="right" w:pos="8306"/>
      </w:tabs>
      <w:snapToGrid w:val="0"/>
      <w:jc w:val="left"/>
    </w:pPr>
    <w:rPr>
      <w:sz w:val="18"/>
      <w:szCs w:val="18"/>
    </w:rPr>
  </w:style>
  <w:style w:type="character" w:customStyle="1" w:styleId="Char0">
    <w:name w:val="页脚 Char"/>
    <w:basedOn w:val="a1"/>
    <w:link w:val="a5"/>
    <w:rsid w:val="00D05E76"/>
    <w:rPr>
      <w:sz w:val="18"/>
      <w:szCs w:val="18"/>
    </w:rPr>
  </w:style>
  <w:style w:type="paragraph" w:styleId="a6">
    <w:name w:val="List Paragraph"/>
    <w:basedOn w:val="a"/>
    <w:uiPriority w:val="34"/>
    <w:qFormat/>
    <w:rsid w:val="00064B63"/>
    <w:pPr>
      <w:ind w:firstLineChars="200" w:firstLine="420"/>
    </w:pPr>
  </w:style>
  <w:style w:type="character" w:customStyle="1" w:styleId="1Char">
    <w:name w:val="标题 1 Char"/>
    <w:basedOn w:val="a1"/>
    <w:link w:val="1"/>
    <w:rsid w:val="00064B63"/>
    <w:rPr>
      <w:rFonts w:ascii="Times New Roman" w:eastAsia="宋体" w:hAnsi="Times New Roman" w:cs="Times New Roman"/>
      <w:b/>
      <w:bCs/>
      <w:kern w:val="44"/>
      <w:sz w:val="36"/>
      <w:szCs w:val="44"/>
    </w:rPr>
  </w:style>
  <w:style w:type="character" w:customStyle="1" w:styleId="2Char">
    <w:name w:val="标题 2 Char"/>
    <w:basedOn w:val="a1"/>
    <w:link w:val="2"/>
    <w:rsid w:val="00064B63"/>
    <w:rPr>
      <w:rFonts w:ascii="Arial" w:eastAsia="黑体" w:hAnsi="Arial" w:cs="Times New Roman"/>
      <w:b/>
      <w:bCs/>
      <w:sz w:val="36"/>
      <w:szCs w:val="32"/>
    </w:rPr>
  </w:style>
  <w:style w:type="character" w:customStyle="1" w:styleId="3Char">
    <w:name w:val="标题 3 Char"/>
    <w:basedOn w:val="a1"/>
    <w:link w:val="3"/>
    <w:rsid w:val="00064B63"/>
    <w:rPr>
      <w:rFonts w:ascii="Calibri" w:eastAsia="宋体" w:hAnsi="Calibri" w:cs="Times New Roman"/>
      <w:kern w:val="0"/>
      <w:szCs w:val="24"/>
    </w:rPr>
  </w:style>
  <w:style w:type="character" w:customStyle="1" w:styleId="4Char">
    <w:name w:val="标题 4 Char"/>
    <w:basedOn w:val="a1"/>
    <w:link w:val="4"/>
    <w:uiPriority w:val="9"/>
    <w:rsid w:val="00064B63"/>
    <w:rPr>
      <w:rFonts w:ascii="Calibri" w:eastAsia="宋体" w:hAnsi="Cambria" w:cs="Times New Roman"/>
      <w:b/>
      <w:bCs/>
      <w:sz w:val="28"/>
      <w:szCs w:val="28"/>
    </w:rPr>
  </w:style>
  <w:style w:type="character" w:customStyle="1" w:styleId="5Char">
    <w:name w:val="标题 5 Char"/>
    <w:basedOn w:val="a1"/>
    <w:link w:val="5"/>
    <w:uiPriority w:val="9"/>
    <w:rsid w:val="00064B63"/>
    <w:rPr>
      <w:rFonts w:ascii="Calibri" w:eastAsia="宋体" w:hAnsi="Calibri" w:cs="Times New Roman"/>
      <w:b/>
      <w:bCs/>
      <w:sz w:val="28"/>
      <w:szCs w:val="28"/>
    </w:rPr>
  </w:style>
  <w:style w:type="character" w:customStyle="1" w:styleId="6Char">
    <w:name w:val="标题 6 Char"/>
    <w:basedOn w:val="a1"/>
    <w:link w:val="6"/>
    <w:uiPriority w:val="9"/>
    <w:rsid w:val="00064B63"/>
    <w:rPr>
      <w:rFonts w:ascii="Calibri" w:eastAsia="宋体" w:hAnsi="Cambria" w:cs="Times New Roman"/>
      <w:b/>
      <w:bCs/>
      <w:sz w:val="28"/>
      <w:szCs w:val="24"/>
    </w:rPr>
  </w:style>
  <w:style w:type="numbering" w:customStyle="1" w:styleId="10">
    <w:name w:val="无列表1"/>
    <w:next w:val="a3"/>
    <w:uiPriority w:val="99"/>
    <w:semiHidden/>
    <w:unhideWhenUsed/>
    <w:rsid w:val="00064B63"/>
  </w:style>
  <w:style w:type="paragraph" w:styleId="a0">
    <w:name w:val="Normal Indent"/>
    <w:basedOn w:val="a"/>
    <w:uiPriority w:val="99"/>
    <w:qFormat/>
    <w:rsid w:val="00064B63"/>
    <w:pPr>
      <w:ind w:firstLine="420"/>
    </w:pPr>
    <w:rPr>
      <w:rFonts w:ascii="Times New Roman" w:eastAsia="仿宋" w:hAnsi="Times New Roman" w:cs="Times New Roman"/>
      <w:caps/>
      <w:kern w:val="0"/>
      <w:sz w:val="32"/>
      <w:szCs w:val="32"/>
    </w:rPr>
  </w:style>
  <w:style w:type="paragraph" w:styleId="7">
    <w:name w:val="toc 7"/>
    <w:basedOn w:val="a"/>
    <w:next w:val="a"/>
    <w:rsid w:val="00064B63"/>
    <w:pPr>
      <w:ind w:leftChars="1200" w:left="2520"/>
    </w:pPr>
    <w:rPr>
      <w:rFonts w:ascii="Calibri" w:eastAsia="宋体" w:hAnsi="Calibri" w:cs="Times New Roman"/>
      <w:szCs w:val="24"/>
    </w:rPr>
  </w:style>
  <w:style w:type="paragraph" w:styleId="a7">
    <w:name w:val="Document Map"/>
    <w:basedOn w:val="a"/>
    <w:link w:val="Char1"/>
    <w:semiHidden/>
    <w:rsid w:val="00064B63"/>
    <w:pPr>
      <w:shd w:val="clear" w:color="auto" w:fill="000080"/>
    </w:pPr>
    <w:rPr>
      <w:rFonts w:ascii="Calibri" w:eastAsia="宋体" w:hAnsi="Calibri" w:cs="Times New Roman"/>
      <w:szCs w:val="24"/>
    </w:rPr>
  </w:style>
  <w:style w:type="character" w:customStyle="1" w:styleId="Char1">
    <w:name w:val="文档结构图 Char"/>
    <w:basedOn w:val="a1"/>
    <w:link w:val="a7"/>
    <w:semiHidden/>
    <w:rsid w:val="00064B63"/>
    <w:rPr>
      <w:rFonts w:ascii="Calibri" w:eastAsia="宋体" w:hAnsi="Calibri" w:cs="Times New Roman"/>
      <w:szCs w:val="24"/>
      <w:shd w:val="clear" w:color="auto" w:fill="000080"/>
    </w:rPr>
  </w:style>
  <w:style w:type="paragraph" w:styleId="30">
    <w:name w:val="Body Text 3"/>
    <w:basedOn w:val="a"/>
    <w:link w:val="3Char0"/>
    <w:qFormat/>
    <w:rsid w:val="00064B63"/>
    <w:pPr>
      <w:spacing w:after="120"/>
    </w:pPr>
    <w:rPr>
      <w:rFonts w:ascii="Calibri" w:eastAsia="宋体" w:hAnsi="Calibri" w:cs="Times New Roman"/>
      <w:sz w:val="16"/>
      <w:szCs w:val="16"/>
    </w:rPr>
  </w:style>
  <w:style w:type="character" w:customStyle="1" w:styleId="3Char0">
    <w:name w:val="正文文本 3 Char"/>
    <w:basedOn w:val="a1"/>
    <w:link w:val="30"/>
    <w:rsid w:val="00064B63"/>
    <w:rPr>
      <w:rFonts w:ascii="Calibri" w:eastAsia="宋体" w:hAnsi="Calibri" w:cs="Times New Roman"/>
      <w:sz w:val="16"/>
      <w:szCs w:val="16"/>
    </w:rPr>
  </w:style>
  <w:style w:type="paragraph" w:styleId="a8">
    <w:name w:val="Body Text"/>
    <w:basedOn w:val="a"/>
    <w:link w:val="Char2"/>
    <w:rsid w:val="00064B63"/>
    <w:pPr>
      <w:spacing w:after="120"/>
    </w:pPr>
    <w:rPr>
      <w:rFonts w:ascii="Calibri" w:eastAsia="宋体" w:hAnsi="Calibri" w:cs="Times New Roman"/>
      <w:szCs w:val="24"/>
    </w:rPr>
  </w:style>
  <w:style w:type="character" w:customStyle="1" w:styleId="Char2">
    <w:name w:val="正文文本 Char"/>
    <w:basedOn w:val="a1"/>
    <w:link w:val="a8"/>
    <w:rsid w:val="00064B63"/>
    <w:rPr>
      <w:rFonts w:ascii="Calibri" w:eastAsia="宋体" w:hAnsi="Calibri" w:cs="Times New Roman"/>
      <w:szCs w:val="24"/>
    </w:rPr>
  </w:style>
  <w:style w:type="paragraph" w:styleId="a9">
    <w:name w:val="Body Text Indent"/>
    <w:basedOn w:val="a"/>
    <w:next w:val="aa"/>
    <w:link w:val="Char3"/>
    <w:rsid w:val="00064B63"/>
    <w:pPr>
      <w:spacing w:after="120"/>
      <w:ind w:leftChars="200" w:left="420"/>
    </w:pPr>
    <w:rPr>
      <w:rFonts w:ascii="Calibri" w:eastAsia="宋体" w:hAnsi="Calibri" w:cs="Times New Roman"/>
      <w:szCs w:val="24"/>
    </w:rPr>
  </w:style>
  <w:style w:type="character" w:customStyle="1" w:styleId="Char3">
    <w:name w:val="正文文本缩进 Char"/>
    <w:basedOn w:val="a1"/>
    <w:link w:val="a9"/>
    <w:rsid w:val="00064B63"/>
    <w:rPr>
      <w:rFonts w:ascii="Calibri" w:eastAsia="宋体" w:hAnsi="Calibri" w:cs="Times New Roman"/>
      <w:szCs w:val="24"/>
    </w:rPr>
  </w:style>
  <w:style w:type="paragraph" w:styleId="aa">
    <w:name w:val="envelope return"/>
    <w:qFormat/>
    <w:rsid w:val="00064B63"/>
    <w:pPr>
      <w:snapToGrid w:val="0"/>
    </w:pPr>
    <w:rPr>
      <w:rFonts w:ascii="Arial" w:eastAsia="宋体" w:hAnsi="Arial" w:cs="Arial"/>
      <w:szCs w:val="21"/>
    </w:rPr>
  </w:style>
  <w:style w:type="paragraph" w:styleId="50">
    <w:name w:val="toc 5"/>
    <w:basedOn w:val="a"/>
    <w:next w:val="a"/>
    <w:rsid w:val="00064B63"/>
    <w:pPr>
      <w:ind w:leftChars="800" w:left="1680"/>
    </w:pPr>
    <w:rPr>
      <w:rFonts w:ascii="Calibri" w:eastAsia="宋体" w:hAnsi="Calibri" w:cs="Times New Roman"/>
      <w:szCs w:val="24"/>
    </w:rPr>
  </w:style>
  <w:style w:type="paragraph" w:styleId="31">
    <w:name w:val="toc 3"/>
    <w:basedOn w:val="a"/>
    <w:next w:val="a"/>
    <w:rsid w:val="00064B63"/>
    <w:pPr>
      <w:ind w:leftChars="400" w:left="840"/>
    </w:pPr>
    <w:rPr>
      <w:rFonts w:ascii="Calibri" w:eastAsia="宋体" w:hAnsi="Calibri" w:cs="Times New Roman"/>
      <w:szCs w:val="24"/>
    </w:rPr>
  </w:style>
  <w:style w:type="paragraph" w:styleId="ab">
    <w:name w:val="Plain Text"/>
    <w:basedOn w:val="a"/>
    <w:link w:val="Char4"/>
    <w:rsid w:val="00064B63"/>
    <w:rPr>
      <w:rFonts w:ascii="宋体" w:eastAsia="宋体" w:hAnsi="Courier New" w:cs="Courier New"/>
      <w:szCs w:val="21"/>
    </w:rPr>
  </w:style>
  <w:style w:type="character" w:customStyle="1" w:styleId="Char4">
    <w:name w:val="纯文本 Char"/>
    <w:basedOn w:val="a1"/>
    <w:link w:val="ab"/>
    <w:rsid w:val="00064B63"/>
    <w:rPr>
      <w:rFonts w:ascii="宋体" w:eastAsia="宋体" w:hAnsi="Courier New" w:cs="Courier New"/>
      <w:szCs w:val="21"/>
    </w:rPr>
  </w:style>
  <w:style w:type="paragraph" w:styleId="8">
    <w:name w:val="toc 8"/>
    <w:basedOn w:val="a"/>
    <w:next w:val="a"/>
    <w:rsid w:val="00064B63"/>
    <w:pPr>
      <w:ind w:leftChars="1400" w:left="2940"/>
    </w:pPr>
    <w:rPr>
      <w:rFonts w:ascii="Calibri" w:eastAsia="宋体" w:hAnsi="Calibri" w:cs="Times New Roman"/>
      <w:szCs w:val="24"/>
    </w:rPr>
  </w:style>
  <w:style w:type="paragraph" w:styleId="ac">
    <w:name w:val="Date"/>
    <w:basedOn w:val="a"/>
    <w:next w:val="a"/>
    <w:link w:val="Char5"/>
    <w:rsid w:val="00064B63"/>
    <w:pPr>
      <w:ind w:leftChars="2500" w:left="100"/>
    </w:pPr>
    <w:rPr>
      <w:rFonts w:ascii="Calibri" w:eastAsia="宋体" w:hAnsi="Calibri" w:cs="Times New Roman"/>
      <w:szCs w:val="24"/>
    </w:rPr>
  </w:style>
  <w:style w:type="character" w:customStyle="1" w:styleId="Char5">
    <w:name w:val="日期 Char"/>
    <w:basedOn w:val="a1"/>
    <w:link w:val="ac"/>
    <w:rsid w:val="00064B63"/>
    <w:rPr>
      <w:rFonts w:ascii="Calibri" w:eastAsia="宋体" w:hAnsi="Calibri" w:cs="Times New Roman"/>
      <w:szCs w:val="24"/>
    </w:rPr>
  </w:style>
  <w:style w:type="paragraph" w:styleId="20">
    <w:name w:val="Body Text Indent 2"/>
    <w:basedOn w:val="a"/>
    <w:link w:val="2Char0"/>
    <w:rsid w:val="00064B63"/>
    <w:pPr>
      <w:ind w:firstLineChars="225" w:firstLine="540"/>
    </w:pPr>
    <w:rPr>
      <w:rFonts w:ascii="Calibri" w:eastAsia="宋体" w:hAnsi="Calibri" w:cs="Times New Roman"/>
      <w:sz w:val="24"/>
      <w:szCs w:val="24"/>
    </w:rPr>
  </w:style>
  <w:style w:type="character" w:customStyle="1" w:styleId="2Char0">
    <w:name w:val="正文文本缩进 2 Char"/>
    <w:basedOn w:val="a1"/>
    <w:link w:val="20"/>
    <w:rsid w:val="00064B63"/>
    <w:rPr>
      <w:rFonts w:ascii="Calibri" w:eastAsia="宋体" w:hAnsi="Calibri" w:cs="Times New Roman"/>
      <w:sz w:val="24"/>
      <w:szCs w:val="24"/>
    </w:rPr>
  </w:style>
  <w:style w:type="paragraph" w:styleId="ad">
    <w:name w:val="Balloon Text"/>
    <w:basedOn w:val="a"/>
    <w:link w:val="Char6"/>
    <w:semiHidden/>
    <w:rsid w:val="00064B63"/>
    <w:rPr>
      <w:rFonts w:ascii="Calibri" w:eastAsia="宋体" w:hAnsi="Calibri" w:cs="Times New Roman"/>
      <w:sz w:val="18"/>
      <w:szCs w:val="18"/>
    </w:rPr>
  </w:style>
  <w:style w:type="character" w:customStyle="1" w:styleId="Char6">
    <w:name w:val="批注框文本 Char"/>
    <w:basedOn w:val="a1"/>
    <w:link w:val="ad"/>
    <w:semiHidden/>
    <w:rsid w:val="00064B63"/>
    <w:rPr>
      <w:rFonts w:ascii="Calibri" w:eastAsia="宋体" w:hAnsi="Calibri" w:cs="Times New Roman"/>
      <w:sz w:val="18"/>
      <w:szCs w:val="18"/>
    </w:rPr>
  </w:style>
  <w:style w:type="paragraph" w:styleId="11">
    <w:name w:val="toc 1"/>
    <w:basedOn w:val="a"/>
    <w:next w:val="a"/>
    <w:rsid w:val="00064B63"/>
    <w:rPr>
      <w:rFonts w:ascii="Calibri" w:eastAsia="宋体" w:hAnsi="Calibri" w:cs="Times New Roman"/>
      <w:szCs w:val="24"/>
    </w:rPr>
  </w:style>
  <w:style w:type="paragraph" w:styleId="40">
    <w:name w:val="toc 4"/>
    <w:basedOn w:val="a"/>
    <w:next w:val="a"/>
    <w:rsid w:val="00064B63"/>
    <w:pPr>
      <w:ind w:leftChars="600" w:left="1260"/>
    </w:pPr>
    <w:rPr>
      <w:rFonts w:ascii="Calibri" w:eastAsia="宋体" w:hAnsi="Calibri" w:cs="Times New Roman"/>
      <w:szCs w:val="24"/>
    </w:rPr>
  </w:style>
  <w:style w:type="paragraph" w:styleId="60">
    <w:name w:val="toc 6"/>
    <w:basedOn w:val="a"/>
    <w:next w:val="a"/>
    <w:rsid w:val="00064B63"/>
    <w:pPr>
      <w:ind w:leftChars="1000" w:left="2100"/>
    </w:pPr>
    <w:rPr>
      <w:rFonts w:ascii="Calibri" w:eastAsia="宋体" w:hAnsi="Calibri" w:cs="Times New Roman"/>
      <w:szCs w:val="24"/>
    </w:rPr>
  </w:style>
  <w:style w:type="paragraph" w:styleId="32">
    <w:name w:val="Body Text Indent 3"/>
    <w:basedOn w:val="a"/>
    <w:link w:val="3Char1"/>
    <w:rsid w:val="00064B63"/>
    <w:pPr>
      <w:spacing w:line="300" w:lineRule="auto"/>
      <w:ind w:firstLineChars="200" w:firstLine="480"/>
      <w:jc w:val="left"/>
    </w:pPr>
    <w:rPr>
      <w:rFonts w:ascii="Calibri" w:eastAsia="宋体" w:hAnsi="Calibri" w:cs="Times New Roman"/>
      <w:sz w:val="24"/>
      <w:szCs w:val="24"/>
    </w:rPr>
  </w:style>
  <w:style w:type="character" w:customStyle="1" w:styleId="3Char1">
    <w:name w:val="正文文本缩进 3 Char"/>
    <w:basedOn w:val="a1"/>
    <w:link w:val="32"/>
    <w:rsid w:val="00064B63"/>
    <w:rPr>
      <w:rFonts w:ascii="Calibri" w:eastAsia="宋体" w:hAnsi="Calibri" w:cs="Times New Roman"/>
      <w:sz w:val="24"/>
      <w:szCs w:val="24"/>
    </w:rPr>
  </w:style>
  <w:style w:type="paragraph" w:styleId="21">
    <w:name w:val="toc 2"/>
    <w:basedOn w:val="a"/>
    <w:next w:val="a"/>
    <w:rsid w:val="00064B63"/>
    <w:pPr>
      <w:ind w:leftChars="200" w:left="420"/>
    </w:pPr>
    <w:rPr>
      <w:rFonts w:ascii="Calibri" w:eastAsia="宋体" w:hAnsi="Calibri" w:cs="Times New Roman"/>
      <w:szCs w:val="24"/>
    </w:rPr>
  </w:style>
  <w:style w:type="paragraph" w:styleId="9">
    <w:name w:val="toc 9"/>
    <w:basedOn w:val="a"/>
    <w:next w:val="a"/>
    <w:rsid w:val="00064B63"/>
    <w:pPr>
      <w:ind w:leftChars="1600" w:left="3360"/>
    </w:pPr>
    <w:rPr>
      <w:rFonts w:ascii="Calibri" w:eastAsia="宋体" w:hAnsi="Calibri" w:cs="Times New Roman"/>
      <w:szCs w:val="24"/>
    </w:rPr>
  </w:style>
  <w:style w:type="paragraph" w:styleId="ae">
    <w:name w:val="Message Header"/>
    <w:basedOn w:val="a"/>
    <w:next w:val="a"/>
    <w:link w:val="Char7"/>
    <w:uiPriority w:val="99"/>
    <w:qFormat/>
    <w:rsid w:val="00064B6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cs="Times New Roman"/>
      <w:sz w:val="24"/>
      <w:szCs w:val="24"/>
    </w:rPr>
  </w:style>
  <w:style w:type="character" w:customStyle="1" w:styleId="Char7">
    <w:name w:val="信息标题 Char"/>
    <w:basedOn w:val="a1"/>
    <w:link w:val="ae"/>
    <w:uiPriority w:val="99"/>
    <w:rsid w:val="00064B63"/>
    <w:rPr>
      <w:rFonts w:ascii="Cambria" w:eastAsia="宋体" w:hAnsi="Cambria" w:cs="Times New Roman"/>
      <w:sz w:val="24"/>
      <w:szCs w:val="24"/>
      <w:shd w:val="pct20" w:color="auto" w:fill="auto"/>
    </w:rPr>
  </w:style>
  <w:style w:type="paragraph" w:styleId="HTML">
    <w:name w:val="HTML Preformatted"/>
    <w:basedOn w:val="a"/>
    <w:link w:val="HTMLChar"/>
    <w:rsid w:val="00064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1"/>
    <w:link w:val="HTML"/>
    <w:rsid w:val="00064B63"/>
    <w:rPr>
      <w:rFonts w:ascii="宋体" w:eastAsia="宋体" w:hAnsi="宋体" w:cs="Times New Roman"/>
      <w:kern w:val="0"/>
      <w:sz w:val="24"/>
      <w:szCs w:val="24"/>
    </w:rPr>
  </w:style>
  <w:style w:type="paragraph" w:styleId="af">
    <w:name w:val="Normal (Web)"/>
    <w:basedOn w:val="a"/>
    <w:rsid w:val="00064B63"/>
    <w:pPr>
      <w:widowControl/>
      <w:spacing w:before="100" w:beforeAutospacing="1" w:after="100" w:afterAutospacing="1"/>
      <w:jc w:val="left"/>
    </w:pPr>
    <w:rPr>
      <w:rFonts w:ascii="宋体" w:eastAsia="宋体" w:hAnsi="宋体" w:cs="宋体"/>
      <w:kern w:val="0"/>
      <w:sz w:val="24"/>
      <w:szCs w:val="24"/>
    </w:rPr>
  </w:style>
  <w:style w:type="paragraph" w:styleId="af0">
    <w:name w:val="Body Text First Indent"/>
    <w:basedOn w:val="a8"/>
    <w:next w:val="22"/>
    <w:link w:val="Char8"/>
    <w:qFormat/>
    <w:rsid w:val="00064B63"/>
    <w:pPr>
      <w:ind w:firstLineChars="100" w:firstLine="420"/>
    </w:pPr>
    <w:rPr>
      <w:rFonts w:ascii="Times New Roman" w:hAnsi="Times New Roman"/>
      <w:sz w:val="20"/>
    </w:rPr>
  </w:style>
  <w:style w:type="character" w:customStyle="1" w:styleId="Char8">
    <w:name w:val="正文首行缩进 Char"/>
    <w:basedOn w:val="Char2"/>
    <w:link w:val="af0"/>
    <w:rsid w:val="00064B63"/>
    <w:rPr>
      <w:rFonts w:ascii="Times New Roman" w:hAnsi="Times New Roman"/>
      <w:sz w:val="20"/>
    </w:rPr>
  </w:style>
  <w:style w:type="paragraph" w:styleId="22">
    <w:name w:val="Body Text First Indent 2"/>
    <w:basedOn w:val="a9"/>
    <w:link w:val="2Char1"/>
    <w:qFormat/>
    <w:rsid w:val="00064B63"/>
    <w:pPr>
      <w:ind w:firstLineChars="200" w:firstLine="420"/>
    </w:pPr>
  </w:style>
  <w:style w:type="character" w:customStyle="1" w:styleId="2Char1">
    <w:name w:val="正文首行缩进 2 Char"/>
    <w:basedOn w:val="Char3"/>
    <w:link w:val="22"/>
    <w:rsid w:val="00064B63"/>
  </w:style>
  <w:style w:type="table" w:styleId="af1">
    <w:name w:val="Table Grid"/>
    <w:basedOn w:val="a2"/>
    <w:qFormat/>
    <w:rsid w:val="00064B63"/>
    <w:pPr>
      <w:widowControl w:val="0"/>
      <w:jc w:val="both"/>
    </w:pPr>
    <w:rPr>
      <w:rFonts w:ascii="Calibri" w:eastAsia="宋体" w:hAnsi="Calibri" w:cs="Times New Roman"/>
      <w:caps/>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064B63"/>
    <w:rPr>
      <w:b/>
      <w:i w:val="0"/>
      <w:sz w:val="24"/>
      <w:szCs w:val="24"/>
    </w:rPr>
  </w:style>
  <w:style w:type="character" w:styleId="af3">
    <w:name w:val="page number"/>
    <w:rsid w:val="00064B63"/>
  </w:style>
  <w:style w:type="character" w:styleId="af4">
    <w:name w:val="FollowedHyperlink"/>
    <w:rsid w:val="00064B63"/>
    <w:rPr>
      <w:color w:val="338DE6"/>
      <w:u w:val="none"/>
    </w:rPr>
  </w:style>
  <w:style w:type="character" w:styleId="af5">
    <w:name w:val="Emphasis"/>
    <w:qFormat/>
    <w:rsid w:val="00064B63"/>
    <w:rPr>
      <w:i w:val="0"/>
    </w:rPr>
  </w:style>
  <w:style w:type="character" w:styleId="HTML0">
    <w:name w:val="HTML Definition"/>
    <w:rsid w:val="00064B63"/>
    <w:rPr>
      <w:i w:val="0"/>
    </w:rPr>
  </w:style>
  <w:style w:type="character" w:styleId="HTML1">
    <w:name w:val="HTML Variable"/>
    <w:rsid w:val="00064B63"/>
    <w:rPr>
      <w:i w:val="0"/>
    </w:rPr>
  </w:style>
  <w:style w:type="character" w:styleId="af6">
    <w:name w:val="Hyperlink"/>
    <w:rsid w:val="00064B63"/>
    <w:rPr>
      <w:color w:val="338DE6"/>
      <w:u w:val="none"/>
    </w:rPr>
  </w:style>
  <w:style w:type="character" w:styleId="HTML2">
    <w:name w:val="HTML Code"/>
    <w:rsid w:val="00064B63"/>
    <w:rPr>
      <w:rFonts w:ascii="monospace" w:eastAsia="monospace" w:hAnsi="monospace" w:cs="monospace" w:hint="default"/>
      <w:sz w:val="21"/>
      <w:szCs w:val="21"/>
    </w:rPr>
  </w:style>
  <w:style w:type="character" w:styleId="HTML3">
    <w:name w:val="HTML Cite"/>
    <w:rsid w:val="00064B63"/>
    <w:rPr>
      <w:i w:val="0"/>
    </w:rPr>
  </w:style>
  <w:style w:type="character" w:styleId="HTML4">
    <w:name w:val="HTML Keyboard"/>
    <w:rsid w:val="00064B63"/>
    <w:rPr>
      <w:rFonts w:ascii="monospace" w:eastAsia="monospace" w:hAnsi="monospace" w:cs="monospace" w:hint="default"/>
      <w:sz w:val="21"/>
      <w:szCs w:val="21"/>
    </w:rPr>
  </w:style>
  <w:style w:type="character" w:styleId="HTML5">
    <w:name w:val="HTML Sample"/>
    <w:rsid w:val="00064B63"/>
    <w:rPr>
      <w:rFonts w:ascii="monospace" w:eastAsia="monospace" w:hAnsi="monospace" w:cs="monospace"/>
      <w:sz w:val="21"/>
      <w:szCs w:val="21"/>
    </w:rPr>
  </w:style>
  <w:style w:type="paragraph" w:customStyle="1" w:styleId="Default">
    <w:name w:val="Default"/>
    <w:next w:val="a"/>
    <w:rsid w:val="00064B63"/>
    <w:pPr>
      <w:widowControl w:val="0"/>
      <w:autoSpaceDE w:val="0"/>
      <w:autoSpaceDN w:val="0"/>
      <w:adjustRightInd w:val="0"/>
    </w:pPr>
    <w:rPr>
      <w:rFonts w:ascii="宋体" w:eastAsia="宋体" w:hAnsi="Calibri" w:cs="宋体"/>
      <w:color w:val="000000"/>
      <w:kern w:val="0"/>
      <w:sz w:val="24"/>
      <w:szCs w:val="24"/>
    </w:rPr>
  </w:style>
  <w:style w:type="character" w:customStyle="1" w:styleId="font01">
    <w:name w:val="font01"/>
    <w:rsid w:val="00064B63"/>
    <w:rPr>
      <w:rFonts w:ascii="仿宋" w:eastAsia="仿宋" w:hAnsi="仿宋" w:cs="仿宋" w:hint="eastAsia"/>
      <w:b/>
      <w:i w:val="0"/>
      <w:color w:val="333333"/>
      <w:sz w:val="28"/>
      <w:szCs w:val="28"/>
      <w:u w:val="none"/>
    </w:rPr>
  </w:style>
  <w:style w:type="character" w:customStyle="1" w:styleId="font21">
    <w:name w:val="font21"/>
    <w:rsid w:val="00064B63"/>
    <w:rPr>
      <w:rFonts w:ascii="仿宋" w:eastAsia="仿宋" w:hAnsi="仿宋" w:cs="仿宋" w:hint="eastAsia"/>
      <w:b/>
      <w:i w:val="0"/>
      <w:color w:val="000000"/>
      <w:sz w:val="28"/>
      <w:szCs w:val="28"/>
      <w:u w:val="none"/>
    </w:rPr>
  </w:style>
  <w:style w:type="character" w:customStyle="1" w:styleId="font11">
    <w:name w:val="font11"/>
    <w:rsid w:val="00064B63"/>
    <w:rPr>
      <w:rFonts w:ascii="仿宋" w:eastAsia="仿宋" w:hAnsi="仿宋" w:cs="仿宋" w:hint="eastAsia"/>
      <w:b/>
      <w:i w:val="0"/>
      <w:color w:val="000000"/>
      <w:sz w:val="28"/>
      <w:szCs w:val="28"/>
      <w:u w:val="none"/>
    </w:rPr>
  </w:style>
  <w:style w:type="character" w:customStyle="1" w:styleId="fontborder">
    <w:name w:val="fontborder"/>
    <w:rsid w:val="00064B63"/>
    <w:rPr>
      <w:bdr w:val="single" w:sz="6" w:space="0" w:color="000000"/>
    </w:rPr>
  </w:style>
  <w:style w:type="character" w:customStyle="1" w:styleId="fontstrikethrough">
    <w:name w:val="fontstrikethrough"/>
    <w:rsid w:val="00064B63"/>
    <w:rPr>
      <w:strike/>
    </w:rPr>
  </w:style>
  <w:style w:type="paragraph" w:customStyle="1" w:styleId="p0paragraphindent">
    <w:name w:val="p0 paragraphindent"/>
    <w:basedOn w:val="a"/>
    <w:qFormat/>
    <w:rsid w:val="00064B63"/>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rsid w:val="00064B63"/>
    <w:pPr>
      <w:widowControl/>
      <w:spacing w:before="100" w:beforeAutospacing="1" w:after="100" w:afterAutospacing="1"/>
      <w:jc w:val="left"/>
    </w:pPr>
    <w:rPr>
      <w:rFonts w:ascii="宋体" w:eastAsia="宋体" w:hAnsi="宋体" w:cs="宋体"/>
      <w:kern w:val="0"/>
      <w:sz w:val="24"/>
      <w:szCs w:val="24"/>
    </w:rPr>
  </w:style>
  <w:style w:type="paragraph" w:customStyle="1" w:styleId="110">
    <w:name w:val="列出段落11"/>
    <w:basedOn w:val="a"/>
    <w:qFormat/>
    <w:rsid w:val="00064B63"/>
    <w:pPr>
      <w:ind w:firstLineChars="200" w:firstLine="420"/>
    </w:pPr>
    <w:rPr>
      <w:rFonts w:ascii="Calibri" w:eastAsia="宋体" w:hAnsi="Calibri" w:cs="Times New Roman"/>
      <w:kern w:val="0"/>
      <w:sz w:val="18"/>
      <w:szCs w:val="18"/>
    </w:rPr>
  </w:style>
  <w:style w:type="paragraph" w:customStyle="1" w:styleId="TableParagraph">
    <w:name w:val="Table Paragraph"/>
    <w:basedOn w:val="a"/>
    <w:uiPriority w:val="1"/>
    <w:qFormat/>
    <w:rsid w:val="00064B63"/>
    <w:rPr>
      <w:rFonts w:ascii="Noto Sans CJK JP Black" w:eastAsia="Noto Sans CJK JP Black" w:hAnsi="Noto Sans CJK JP Black" w:cs="Noto Sans CJK JP Black"/>
      <w:szCs w:val="24"/>
    </w:rPr>
  </w:style>
  <w:style w:type="paragraph" w:customStyle="1" w:styleId="af7">
    <w:name w:val="文档正文"/>
    <w:basedOn w:val="a"/>
    <w:qFormat/>
    <w:rsid w:val="00064B63"/>
    <w:pPr>
      <w:adjustRightInd w:val="0"/>
      <w:spacing w:line="480" w:lineRule="atLeast"/>
      <w:ind w:firstLine="567"/>
      <w:textAlignment w:val="baseline"/>
    </w:pPr>
    <w:rPr>
      <w:rFonts w:ascii="仿宋_GB2312" w:eastAsia="仿宋_GB2312" w:hAnsi="Calibri" w:cs="Times New Roman"/>
      <w:kern w:val="0"/>
      <w:sz w:val="28"/>
      <w:szCs w:val="20"/>
    </w:rPr>
  </w:style>
  <w:style w:type="paragraph" w:customStyle="1" w:styleId="CharCharChar1Char">
    <w:name w:val="Char Char Char1 Char"/>
    <w:basedOn w:val="a"/>
    <w:rsid w:val="00064B63"/>
    <w:pPr>
      <w:adjustRightInd w:val="0"/>
      <w:spacing w:line="312" w:lineRule="atLeast"/>
      <w:textAlignment w:val="baseline"/>
    </w:pPr>
    <w:rPr>
      <w:rFonts w:ascii="Calibri" w:eastAsia="宋体" w:hAnsi="Calibri" w:cs="Times New Roman"/>
      <w:b/>
      <w:bCs/>
      <w:kern w:val="0"/>
      <w:sz w:val="36"/>
      <w:szCs w:val="32"/>
    </w:rPr>
  </w:style>
  <w:style w:type="paragraph" w:customStyle="1" w:styleId="p0">
    <w:name w:val="p0"/>
    <w:basedOn w:val="a"/>
    <w:rsid w:val="00064B63"/>
    <w:pPr>
      <w:widowControl/>
    </w:pPr>
    <w:rPr>
      <w:rFonts w:ascii="Calibri" w:eastAsia="宋体" w:hAnsi="Calibri" w:cs="Times New Roman"/>
      <w:kern w:val="0"/>
      <w:szCs w:val="21"/>
    </w:rPr>
  </w:style>
  <w:style w:type="paragraph" w:customStyle="1" w:styleId="12">
    <w:name w:val="列出段落1"/>
    <w:basedOn w:val="a"/>
    <w:uiPriority w:val="34"/>
    <w:qFormat/>
    <w:rsid w:val="00064B63"/>
    <w:pPr>
      <w:widowControl/>
      <w:adjustRightInd w:val="0"/>
      <w:snapToGrid w:val="0"/>
      <w:spacing w:after="200"/>
      <w:ind w:firstLineChars="200" w:firstLine="420"/>
      <w:jc w:val="left"/>
    </w:pPr>
    <w:rPr>
      <w:rFonts w:ascii="Tahoma" w:eastAsia="微软雅黑" w:hAnsi="Tahoma" w:cs="Times New Roman"/>
      <w:kern w:val="0"/>
      <w:sz w:val="22"/>
    </w:rPr>
  </w:style>
  <w:style w:type="paragraph" w:customStyle="1" w:styleId="23">
    <w:name w:val="样式2"/>
    <w:basedOn w:val="2"/>
    <w:rsid w:val="00064B63"/>
    <w:pPr>
      <w:spacing w:line="413" w:lineRule="auto"/>
      <w:jc w:val="left"/>
    </w:pPr>
    <w:rPr>
      <w:rFonts w:ascii="华文中宋" w:hAnsi="华文中宋"/>
      <w:b w:val="0"/>
      <w:sz w:val="32"/>
      <w:szCs w:val="20"/>
    </w:rPr>
  </w:style>
  <w:style w:type="paragraph" w:customStyle="1" w:styleId="24">
    <w:name w:val="普通正文缩进2字符"/>
    <w:basedOn w:val="a"/>
    <w:uiPriority w:val="99"/>
    <w:qFormat/>
    <w:rsid w:val="00064B63"/>
    <w:pPr>
      <w:adjustRightInd w:val="0"/>
      <w:snapToGrid w:val="0"/>
      <w:spacing w:line="300" w:lineRule="auto"/>
      <w:ind w:firstLineChars="200" w:firstLine="200"/>
      <w:jc w:val="left"/>
    </w:pPr>
    <w:rPr>
      <w:rFonts w:ascii="宋体" w:eastAsia="宋体" w:hAnsi="宋体" w:cs="宋体"/>
      <w:sz w:val="24"/>
      <w:szCs w:val="24"/>
    </w:rPr>
  </w:style>
  <w:style w:type="paragraph" w:customStyle="1" w:styleId="13">
    <w:name w:val="无间隔1"/>
    <w:qFormat/>
    <w:rsid w:val="00064B63"/>
    <w:pPr>
      <w:widowControl w:val="0"/>
      <w:jc w:val="both"/>
    </w:pPr>
    <w:rPr>
      <w:rFonts w:ascii="Calibri" w:eastAsia="宋体" w:hAnsi="Calibri" w:cs="Times New Roman"/>
      <w:szCs w:val="24"/>
    </w:rPr>
  </w:style>
  <w:style w:type="paragraph" w:customStyle="1" w:styleId="TableText">
    <w:name w:val="Table Text"/>
    <w:basedOn w:val="a"/>
    <w:semiHidden/>
    <w:qFormat/>
    <w:rsid w:val="00064B63"/>
    <w:rPr>
      <w:rFonts w:ascii="宋体" w:eastAsia="宋体" w:hAnsi="宋体" w:cs="宋体"/>
      <w:sz w:val="20"/>
      <w:szCs w:val="20"/>
      <w:lang w:eastAsia="en-US"/>
    </w:rPr>
  </w:style>
  <w:style w:type="character" w:styleId="af8">
    <w:name w:val="annotation reference"/>
    <w:basedOn w:val="a1"/>
    <w:uiPriority w:val="99"/>
    <w:semiHidden/>
    <w:unhideWhenUsed/>
    <w:rsid w:val="00667E3E"/>
    <w:rPr>
      <w:sz w:val="21"/>
      <w:szCs w:val="21"/>
    </w:rPr>
  </w:style>
  <w:style w:type="paragraph" w:styleId="af9">
    <w:name w:val="annotation text"/>
    <w:basedOn w:val="a"/>
    <w:link w:val="Char9"/>
    <w:uiPriority w:val="99"/>
    <w:semiHidden/>
    <w:unhideWhenUsed/>
    <w:rsid w:val="00667E3E"/>
    <w:pPr>
      <w:jc w:val="left"/>
    </w:pPr>
  </w:style>
  <w:style w:type="character" w:customStyle="1" w:styleId="Char9">
    <w:name w:val="批注文字 Char"/>
    <w:basedOn w:val="a1"/>
    <w:link w:val="af9"/>
    <w:uiPriority w:val="99"/>
    <w:semiHidden/>
    <w:rsid w:val="00667E3E"/>
  </w:style>
  <w:style w:type="paragraph" w:styleId="afa">
    <w:name w:val="annotation subject"/>
    <w:basedOn w:val="af9"/>
    <w:next w:val="af9"/>
    <w:link w:val="Chara"/>
    <w:uiPriority w:val="99"/>
    <w:semiHidden/>
    <w:unhideWhenUsed/>
    <w:rsid w:val="00667E3E"/>
    <w:rPr>
      <w:b/>
      <w:bCs/>
    </w:rPr>
  </w:style>
  <w:style w:type="character" w:customStyle="1" w:styleId="Chara">
    <w:name w:val="批注主题 Char"/>
    <w:basedOn w:val="Char9"/>
    <w:link w:val="afa"/>
    <w:uiPriority w:val="99"/>
    <w:semiHidden/>
    <w:rsid w:val="00667E3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17</Pages>
  <Words>2232</Words>
  <Characters>12727</Characters>
  <Application>Microsoft Office Word</Application>
  <DocSecurity>0</DocSecurity>
  <Lines>106</Lines>
  <Paragraphs>29</Paragraphs>
  <ScaleCrop>false</ScaleCrop>
  <Company/>
  <LinksUpToDate>false</LinksUpToDate>
  <CharactersWithSpaces>14930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2025-11-28T07:41:00Z</dcterms:created>
  <dcterms:modified xsi:type="dcterms:W3CDTF">2025-12-23T00:41:00Z</dcterms:modified>
</cp:coreProperties>
</file>