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D08B">
      <w:pPr>
        <w:jc w:val="both"/>
        <w:rPr>
          <w:rFonts w:hint="default" w:ascii="黑体" w:hAnsi="黑体" w:eastAsia="黑体" w:cs="黑体"/>
          <w:b w:val="0"/>
          <w:bCs/>
          <w:color w:val="auto"/>
          <w:sz w:val="32"/>
          <w:szCs w:val="32"/>
          <w:lang w:val="en-US" w:eastAsia="zh-CN"/>
        </w:rPr>
      </w:pPr>
    </w:p>
    <w:p w14:paraId="14D710E8">
      <w:pPr>
        <w:jc w:val="center"/>
        <w:rPr>
          <w:rFonts w:hint="eastAsia" w:ascii="宋体" w:hAnsi="宋体"/>
          <w:b/>
          <w:color w:val="auto"/>
          <w:sz w:val="36"/>
          <w:szCs w:val="36"/>
        </w:rPr>
      </w:pPr>
      <w:r>
        <w:rPr>
          <w:rFonts w:hint="eastAsia" w:ascii="宋体" w:hAnsi="宋体"/>
          <w:b/>
          <w:color w:val="auto"/>
          <w:sz w:val="36"/>
          <w:szCs w:val="36"/>
          <w:lang w:eastAsia="zh-CN"/>
        </w:rPr>
        <w:t>黄山风景区市场监管局202</w:t>
      </w:r>
      <w:r>
        <w:rPr>
          <w:rFonts w:hint="eastAsia" w:ascii="宋体" w:hAnsi="宋体"/>
          <w:b/>
          <w:color w:val="auto"/>
          <w:sz w:val="36"/>
          <w:szCs w:val="36"/>
          <w:lang w:val="en-US" w:eastAsia="zh-CN"/>
        </w:rPr>
        <w:t>4</w:t>
      </w:r>
      <w:r>
        <w:rPr>
          <w:rFonts w:ascii="宋体" w:hAnsi="宋体"/>
          <w:b/>
          <w:color w:val="auto"/>
          <w:sz w:val="36"/>
          <w:szCs w:val="36"/>
        </w:rPr>
        <w:t>年</w:t>
      </w:r>
      <w:r>
        <w:rPr>
          <w:rFonts w:hint="eastAsia" w:ascii="宋体" w:hAnsi="宋体"/>
          <w:b/>
          <w:color w:val="auto"/>
          <w:sz w:val="36"/>
          <w:szCs w:val="36"/>
        </w:rPr>
        <w:t>度一般公共预算财政拨款</w:t>
      </w:r>
      <w:r>
        <w:rPr>
          <w:rFonts w:ascii="宋体" w:hAnsi="宋体"/>
          <w:b/>
          <w:color w:val="auto"/>
          <w:sz w:val="36"/>
          <w:szCs w:val="36"/>
        </w:rPr>
        <w:t>“三公</w:t>
      </w:r>
      <w:r>
        <w:rPr>
          <w:rFonts w:hint="eastAsia" w:ascii="宋体" w:hAnsi="宋体"/>
          <w:b/>
          <w:color w:val="auto"/>
          <w:sz w:val="36"/>
          <w:szCs w:val="36"/>
        </w:rPr>
        <w:t>”</w:t>
      </w:r>
      <w:r>
        <w:rPr>
          <w:rFonts w:ascii="宋体" w:hAnsi="宋体"/>
          <w:b/>
          <w:color w:val="auto"/>
          <w:sz w:val="36"/>
          <w:szCs w:val="36"/>
        </w:rPr>
        <w:t>经费</w:t>
      </w:r>
      <w:r>
        <w:rPr>
          <w:rFonts w:hint="eastAsia" w:ascii="宋体" w:hAnsi="宋体"/>
          <w:b/>
          <w:color w:val="auto"/>
          <w:sz w:val="36"/>
          <w:szCs w:val="36"/>
        </w:rPr>
        <w:t>支出决算</w:t>
      </w:r>
    </w:p>
    <w:p w14:paraId="42FCB8BC">
      <w:pPr>
        <w:jc w:val="center"/>
        <w:rPr>
          <w:rFonts w:hint="eastAsia" w:ascii="楷体_GB2312" w:eastAsia="楷体_GB2312"/>
          <w:color w:val="auto"/>
          <w:szCs w:val="32"/>
        </w:rPr>
      </w:pPr>
    </w:p>
    <w:p w14:paraId="72F53B40">
      <w:pPr>
        <w:rPr>
          <w:rFonts w:hint="eastAsia" w:ascii="黑体" w:hAnsi="黑体" w:eastAsia="黑体"/>
          <w:color w:val="auto"/>
          <w:szCs w:val="32"/>
        </w:rPr>
      </w:pPr>
      <w:r>
        <w:rPr>
          <w:rFonts w:hint="eastAsia" w:ascii="黑体" w:hAnsi="黑体" w:eastAsia="黑体"/>
          <w:color w:val="auto"/>
          <w:szCs w:val="32"/>
          <w:lang w:val="en-US" w:eastAsia="zh-CN"/>
        </w:rPr>
        <w:t xml:space="preserve">    </w:t>
      </w:r>
      <w:r>
        <w:rPr>
          <w:rFonts w:hint="eastAsia" w:ascii="黑体" w:hAnsi="黑体" w:eastAsia="黑体"/>
          <w:color w:val="auto"/>
          <w:szCs w:val="32"/>
        </w:rPr>
        <w:t>一、</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hint="eastAsia" w:ascii="黑体" w:hAnsi="黑体" w:eastAsia="黑体"/>
          <w:color w:val="auto"/>
          <w:szCs w:val="32"/>
        </w:rPr>
        <w:t>年度一般公共预算财政拨款“三公”经费支出决算表</w:t>
      </w:r>
    </w:p>
    <w:tbl>
      <w:tblPr>
        <w:tblStyle w:val="2"/>
        <w:tblpPr w:leftFromText="180" w:rightFromText="180" w:vertAnchor="text" w:horzAnchor="page" w:tblpX="1435" w:tblpY="300"/>
        <w:tblOverlap w:val="never"/>
        <w:tblW w:w="97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939"/>
        <w:gridCol w:w="844"/>
        <w:gridCol w:w="612"/>
        <w:gridCol w:w="766"/>
        <w:gridCol w:w="656"/>
        <w:gridCol w:w="766"/>
        <w:gridCol w:w="876"/>
        <w:gridCol w:w="766"/>
        <w:gridCol w:w="436"/>
        <w:gridCol w:w="766"/>
        <w:gridCol w:w="1476"/>
      </w:tblGrid>
      <w:tr w14:paraId="2F73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724" w:type="dxa"/>
            <w:gridSpan w:val="12"/>
            <w:tcBorders>
              <w:top w:val="nil"/>
              <w:left w:val="nil"/>
              <w:bottom w:val="nil"/>
              <w:right w:val="nil"/>
            </w:tcBorders>
            <w:shd w:val="clear" w:color="auto" w:fill="auto"/>
            <w:noWrap/>
            <w:vAlign w:val="center"/>
          </w:tcPr>
          <w:p w14:paraId="3249913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1ADB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1" w:type="dxa"/>
            <w:tcBorders>
              <w:top w:val="nil"/>
              <w:left w:val="nil"/>
              <w:bottom w:val="nil"/>
              <w:right w:val="nil"/>
            </w:tcBorders>
            <w:shd w:val="clear" w:color="auto" w:fill="auto"/>
            <w:noWrap/>
            <w:vAlign w:val="center"/>
          </w:tcPr>
          <w:p w14:paraId="775E852C">
            <w:pPr>
              <w:rPr>
                <w:rFonts w:hint="eastAsia" w:ascii="宋体" w:hAnsi="宋体" w:eastAsia="宋体" w:cs="宋体"/>
                <w:i w:val="0"/>
                <w:iCs w:val="0"/>
                <w:color w:val="000000"/>
                <w:sz w:val="22"/>
                <w:szCs w:val="22"/>
                <w:u w:val="none"/>
              </w:rPr>
            </w:pPr>
          </w:p>
        </w:tc>
        <w:tc>
          <w:tcPr>
            <w:tcW w:w="939" w:type="dxa"/>
            <w:tcBorders>
              <w:top w:val="nil"/>
              <w:left w:val="nil"/>
              <w:bottom w:val="nil"/>
              <w:right w:val="nil"/>
            </w:tcBorders>
            <w:shd w:val="clear" w:color="auto" w:fill="auto"/>
            <w:noWrap/>
            <w:vAlign w:val="center"/>
          </w:tcPr>
          <w:p w14:paraId="576BCCFD">
            <w:pPr>
              <w:rPr>
                <w:rFonts w:hint="eastAsia" w:ascii="宋体" w:hAnsi="宋体" w:eastAsia="宋体" w:cs="宋体"/>
                <w:i w:val="0"/>
                <w:iCs w:val="0"/>
                <w:color w:val="000000"/>
                <w:sz w:val="22"/>
                <w:szCs w:val="22"/>
                <w:u w:val="none"/>
              </w:rPr>
            </w:pPr>
          </w:p>
        </w:tc>
        <w:tc>
          <w:tcPr>
            <w:tcW w:w="844" w:type="dxa"/>
            <w:tcBorders>
              <w:top w:val="nil"/>
              <w:left w:val="nil"/>
              <w:bottom w:val="nil"/>
              <w:right w:val="nil"/>
            </w:tcBorders>
            <w:shd w:val="clear" w:color="auto" w:fill="auto"/>
            <w:noWrap/>
            <w:vAlign w:val="center"/>
          </w:tcPr>
          <w:p w14:paraId="4FE41B29">
            <w:pPr>
              <w:rPr>
                <w:rFonts w:hint="eastAsia" w:ascii="宋体" w:hAnsi="宋体" w:eastAsia="宋体" w:cs="宋体"/>
                <w:i w:val="0"/>
                <w:iCs w:val="0"/>
                <w:color w:val="000000"/>
                <w:sz w:val="22"/>
                <w:szCs w:val="22"/>
                <w:u w:val="none"/>
              </w:rPr>
            </w:pPr>
          </w:p>
        </w:tc>
        <w:tc>
          <w:tcPr>
            <w:tcW w:w="612" w:type="dxa"/>
            <w:tcBorders>
              <w:top w:val="nil"/>
              <w:left w:val="nil"/>
              <w:bottom w:val="nil"/>
              <w:right w:val="nil"/>
            </w:tcBorders>
            <w:shd w:val="clear" w:color="auto" w:fill="auto"/>
            <w:noWrap/>
            <w:vAlign w:val="center"/>
          </w:tcPr>
          <w:p w14:paraId="480C4D34">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11AD55CD">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5F97B0EF">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2E6886A9">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noWrap/>
            <w:vAlign w:val="center"/>
          </w:tcPr>
          <w:p w14:paraId="7A713165">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49CFE20B">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14:paraId="3377EBDE">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1E45329E">
            <w:pPr>
              <w:rPr>
                <w:rFonts w:hint="eastAsia" w:ascii="宋体" w:hAnsi="宋体" w:eastAsia="宋体" w:cs="宋体"/>
                <w:i w:val="0"/>
                <w:iCs w:val="0"/>
                <w:color w:val="000000"/>
                <w:sz w:val="22"/>
                <w:szCs w:val="22"/>
                <w:u w:val="none"/>
              </w:rPr>
            </w:pPr>
          </w:p>
        </w:tc>
        <w:tc>
          <w:tcPr>
            <w:tcW w:w="1476" w:type="dxa"/>
            <w:tcBorders>
              <w:top w:val="nil"/>
              <w:left w:val="nil"/>
              <w:bottom w:val="nil"/>
              <w:right w:val="nil"/>
            </w:tcBorders>
            <w:shd w:val="clear" w:color="auto" w:fill="auto"/>
            <w:noWrap/>
            <w:vAlign w:val="bottom"/>
          </w:tcPr>
          <w:p w14:paraId="55395DF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55A3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6" w:type="dxa"/>
            <w:gridSpan w:val="4"/>
            <w:tcBorders>
              <w:top w:val="nil"/>
              <w:left w:val="nil"/>
              <w:bottom w:val="nil"/>
              <w:right w:val="nil"/>
            </w:tcBorders>
            <w:shd w:val="clear" w:color="auto" w:fill="auto"/>
            <w:noWrap/>
            <w:vAlign w:val="bottom"/>
          </w:tcPr>
          <w:p w14:paraId="1D713C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部门：黄山风景区市场监督管理局</w:t>
            </w:r>
          </w:p>
        </w:tc>
        <w:tc>
          <w:tcPr>
            <w:tcW w:w="766" w:type="dxa"/>
            <w:tcBorders>
              <w:top w:val="nil"/>
              <w:left w:val="nil"/>
              <w:bottom w:val="nil"/>
              <w:right w:val="nil"/>
            </w:tcBorders>
            <w:shd w:val="clear" w:color="auto" w:fill="auto"/>
            <w:noWrap/>
            <w:vAlign w:val="center"/>
          </w:tcPr>
          <w:p w14:paraId="5D5913FC">
            <w:pPr>
              <w:rPr>
                <w:rFonts w:hint="eastAsia" w:ascii="宋体" w:hAnsi="宋体" w:eastAsia="宋体" w:cs="宋体"/>
                <w:i w:val="0"/>
                <w:iCs w:val="0"/>
                <w:color w:val="000000"/>
                <w:sz w:val="22"/>
                <w:szCs w:val="22"/>
                <w:u w:val="none"/>
              </w:rPr>
            </w:pPr>
          </w:p>
        </w:tc>
        <w:tc>
          <w:tcPr>
            <w:tcW w:w="656" w:type="dxa"/>
            <w:tcBorders>
              <w:top w:val="nil"/>
              <w:left w:val="nil"/>
              <w:bottom w:val="nil"/>
              <w:right w:val="nil"/>
            </w:tcBorders>
            <w:shd w:val="clear" w:color="auto" w:fill="auto"/>
            <w:noWrap/>
            <w:vAlign w:val="center"/>
          </w:tcPr>
          <w:p w14:paraId="037CAFA4">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61D9B6C9">
            <w:pPr>
              <w:rPr>
                <w:rFonts w:hint="eastAsia" w:ascii="宋体" w:hAnsi="宋体" w:eastAsia="宋体" w:cs="宋体"/>
                <w:i w:val="0"/>
                <w:iCs w:val="0"/>
                <w:color w:val="000000"/>
                <w:sz w:val="22"/>
                <w:szCs w:val="22"/>
                <w:u w:val="none"/>
              </w:rPr>
            </w:pPr>
          </w:p>
        </w:tc>
        <w:tc>
          <w:tcPr>
            <w:tcW w:w="876" w:type="dxa"/>
            <w:tcBorders>
              <w:top w:val="nil"/>
              <w:left w:val="nil"/>
              <w:bottom w:val="nil"/>
              <w:right w:val="nil"/>
            </w:tcBorders>
            <w:shd w:val="clear" w:color="auto" w:fill="auto"/>
            <w:noWrap/>
            <w:vAlign w:val="center"/>
          </w:tcPr>
          <w:p w14:paraId="4FCD1269">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4914C463">
            <w:pPr>
              <w:rPr>
                <w:rFonts w:hint="eastAsia" w:ascii="宋体" w:hAnsi="宋体" w:eastAsia="宋体" w:cs="宋体"/>
                <w:i w:val="0"/>
                <w:iCs w:val="0"/>
                <w:color w:val="000000"/>
                <w:sz w:val="22"/>
                <w:szCs w:val="22"/>
                <w:u w:val="none"/>
              </w:rPr>
            </w:pPr>
          </w:p>
        </w:tc>
        <w:tc>
          <w:tcPr>
            <w:tcW w:w="436" w:type="dxa"/>
            <w:tcBorders>
              <w:top w:val="nil"/>
              <w:left w:val="nil"/>
              <w:bottom w:val="nil"/>
              <w:right w:val="nil"/>
            </w:tcBorders>
            <w:shd w:val="clear" w:color="auto" w:fill="auto"/>
            <w:noWrap/>
            <w:vAlign w:val="center"/>
          </w:tcPr>
          <w:p w14:paraId="7758F222">
            <w:pP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15217190">
            <w:pPr>
              <w:rPr>
                <w:rFonts w:hint="eastAsia" w:ascii="宋体" w:hAnsi="宋体" w:eastAsia="宋体" w:cs="宋体"/>
                <w:i w:val="0"/>
                <w:iCs w:val="0"/>
                <w:color w:val="000000"/>
                <w:sz w:val="22"/>
                <w:szCs w:val="22"/>
                <w:u w:val="none"/>
              </w:rPr>
            </w:pPr>
          </w:p>
        </w:tc>
        <w:tc>
          <w:tcPr>
            <w:tcW w:w="1476" w:type="dxa"/>
            <w:tcBorders>
              <w:top w:val="nil"/>
              <w:left w:val="nil"/>
              <w:bottom w:val="nil"/>
              <w:right w:val="nil"/>
            </w:tcBorders>
            <w:shd w:val="clear" w:color="auto" w:fill="auto"/>
            <w:noWrap/>
            <w:vAlign w:val="bottom"/>
          </w:tcPr>
          <w:p w14:paraId="111E8BB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F21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8"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5BBCD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086" w:type="dxa"/>
            <w:gridSpan w:val="6"/>
            <w:tcBorders>
              <w:top w:val="single" w:color="D4D4D4" w:sz="4" w:space="0"/>
              <w:left w:val="single" w:color="D4D4D4" w:sz="4" w:space="0"/>
              <w:bottom w:val="single" w:color="D4D4D4" w:sz="4" w:space="0"/>
              <w:right w:val="single" w:color="D4D4D4" w:sz="4" w:space="0"/>
            </w:tcBorders>
            <w:shd w:val="clear" w:color="auto" w:fill="F1F1F1"/>
            <w:vAlign w:val="center"/>
          </w:tcPr>
          <w:p w14:paraId="2623F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365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ABB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3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67E7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2222"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4A37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6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F4F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6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C60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88B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国（境）费</w:t>
            </w:r>
          </w:p>
        </w:tc>
        <w:tc>
          <w:tcPr>
            <w:tcW w:w="1968"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24D06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C9E6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13B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2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30EADC">
            <w:pPr>
              <w:jc w:val="center"/>
              <w:rPr>
                <w:rFonts w:hint="eastAsia" w:ascii="宋体" w:hAnsi="宋体" w:eastAsia="宋体" w:cs="宋体"/>
                <w:i w:val="0"/>
                <w:iCs w:val="0"/>
                <w:color w:val="000000"/>
                <w:sz w:val="22"/>
                <w:szCs w:val="22"/>
                <w:u w:val="none"/>
              </w:rPr>
            </w:pPr>
          </w:p>
        </w:tc>
        <w:tc>
          <w:tcPr>
            <w:tcW w:w="93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24631B4">
            <w:pPr>
              <w:jc w:val="center"/>
              <w:rPr>
                <w:rFonts w:hint="eastAsia" w:ascii="宋体" w:hAnsi="宋体" w:eastAsia="宋体" w:cs="宋体"/>
                <w:i w:val="0"/>
                <w:iCs w:val="0"/>
                <w:color w:val="000000"/>
                <w:sz w:val="22"/>
                <w:szCs w:val="22"/>
                <w:u w:val="none"/>
              </w:rPr>
            </w:pPr>
          </w:p>
        </w:tc>
        <w:tc>
          <w:tcPr>
            <w:tcW w:w="84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1B81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61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F1C0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F34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6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6A17FC">
            <w:pPr>
              <w:jc w:val="center"/>
              <w:rPr>
                <w:rFonts w:hint="eastAsia" w:ascii="宋体" w:hAnsi="宋体" w:eastAsia="宋体" w:cs="宋体"/>
                <w:i w:val="0"/>
                <w:iCs w:val="0"/>
                <w:color w:val="000000"/>
                <w:sz w:val="22"/>
                <w:szCs w:val="22"/>
                <w:u w:val="none"/>
              </w:rPr>
            </w:pPr>
          </w:p>
        </w:tc>
        <w:tc>
          <w:tcPr>
            <w:tcW w:w="76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113646">
            <w:pPr>
              <w:jc w:val="center"/>
              <w:rPr>
                <w:rFonts w:hint="eastAsia" w:ascii="宋体" w:hAnsi="宋体" w:eastAsia="宋体" w:cs="宋体"/>
                <w:i w:val="0"/>
                <w:iCs w:val="0"/>
                <w:color w:val="000000"/>
                <w:sz w:val="22"/>
                <w:szCs w:val="22"/>
                <w:u w:val="none"/>
              </w:rPr>
            </w:pPr>
          </w:p>
        </w:tc>
        <w:tc>
          <w:tcPr>
            <w:tcW w:w="8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B65C9C">
            <w:pPr>
              <w:jc w:val="center"/>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CEF7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3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5C5D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购置费</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2FD6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运行维护费</w:t>
            </w:r>
          </w:p>
        </w:tc>
        <w:tc>
          <w:tcPr>
            <w:tcW w:w="14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476DBA">
            <w:pPr>
              <w:jc w:val="center"/>
              <w:rPr>
                <w:rFonts w:hint="eastAsia" w:ascii="宋体" w:hAnsi="宋体" w:eastAsia="宋体" w:cs="宋体"/>
                <w:i w:val="0"/>
                <w:iCs w:val="0"/>
                <w:color w:val="000000"/>
                <w:sz w:val="22"/>
                <w:szCs w:val="22"/>
                <w:u w:val="none"/>
              </w:rPr>
            </w:pPr>
          </w:p>
        </w:tc>
      </w:tr>
      <w:tr w14:paraId="4BAF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5ABF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9"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AC29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398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2"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4B0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B86F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E4A6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76F7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61F8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FF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3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8A2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34B2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7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6541D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E04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876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93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0AB0A2">
            <w:pPr>
              <w:jc w:val="right"/>
              <w:rPr>
                <w:rFonts w:hint="eastAsia" w:ascii="宋体" w:hAnsi="宋体" w:eastAsia="宋体" w:cs="宋体"/>
                <w:i w:val="0"/>
                <w:iCs w:val="0"/>
                <w:color w:val="000000"/>
                <w:sz w:val="22"/>
                <w:szCs w:val="22"/>
                <w:u w:val="none"/>
              </w:rPr>
            </w:pPr>
          </w:p>
        </w:tc>
        <w:tc>
          <w:tcPr>
            <w:tcW w:w="84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B3AC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D3EC1D">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C37F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6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1DE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2C0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8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35A37F">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3F7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43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C9B9EE">
            <w:pPr>
              <w:jc w:val="right"/>
              <w:rPr>
                <w:rFonts w:hint="eastAsia" w:ascii="宋体" w:hAnsi="宋体" w:eastAsia="宋体" w:cs="宋体"/>
                <w:i w:val="0"/>
                <w:iCs w:val="0"/>
                <w:color w:val="000000"/>
                <w:sz w:val="22"/>
                <w:szCs w:val="22"/>
                <w:u w:val="none"/>
              </w:rPr>
            </w:pPr>
          </w:p>
        </w:tc>
        <w:tc>
          <w:tcPr>
            <w:tcW w:w="76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298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14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269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r>
      <w:tr w14:paraId="1D1C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9724" w:type="dxa"/>
            <w:gridSpan w:val="12"/>
            <w:tcBorders>
              <w:top w:val="single" w:color="D4D4D4" w:sz="4" w:space="0"/>
              <w:left w:val="nil"/>
              <w:bottom w:val="nil"/>
              <w:right w:val="nil"/>
            </w:tcBorders>
            <w:shd w:val="clear" w:color="auto" w:fill="FFFFFF"/>
            <w:vAlign w:val="top"/>
          </w:tcPr>
          <w:p w14:paraId="657FC0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单位本年度一般公共预算财政拨款“三公”经费支出预决算情况。其中，预算数为“三公”经费全年预算数，反映按规定程序调整后的预算数；决算数是包括当年一般公共预算财政拨款和以前年度结转资金安排的实际支出。</w:t>
            </w:r>
          </w:p>
        </w:tc>
      </w:tr>
    </w:tbl>
    <w:p w14:paraId="16A3A9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color w:val="auto"/>
          <w:szCs w:val="32"/>
        </w:rPr>
      </w:pPr>
      <w:r>
        <w:rPr>
          <w:rFonts w:hint="eastAsia" w:ascii="仿宋_GB2312" w:hAnsi="仿宋"/>
          <w:color w:val="auto"/>
          <w:szCs w:val="32"/>
          <w:lang w:eastAsia="zh-CN"/>
        </w:rPr>
        <w:t xml:space="preserve"> </w:t>
      </w:r>
      <w:r>
        <w:rPr>
          <w:rFonts w:hint="eastAsia" w:ascii="黑体" w:hAnsi="黑体" w:eastAsia="黑体"/>
          <w:color w:val="auto"/>
          <w:szCs w:val="32"/>
        </w:rPr>
        <w:t xml:space="preserve">                                    </w:t>
      </w:r>
    </w:p>
    <w:p w14:paraId="61598C9E">
      <w:pPr>
        <w:rPr>
          <w:rFonts w:hint="eastAsia" w:ascii="黑体" w:hAnsi="黑体" w:eastAsia="黑体"/>
          <w:color w:val="auto"/>
          <w:szCs w:val="32"/>
        </w:rPr>
      </w:pPr>
      <w:r>
        <w:rPr>
          <w:rFonts w:ascii="黑体" w:hAnsi="黑体" w:eastAsia="黑体"/>
          <w:color w:val="auto"/>
          <w:szCs w:val="32"/>
        </w:rPr>
        <w:t xml:space="preserve">    </w:t>
      </w:r>
      <w:r>
        <w:rPr>
          <w:rFonts w:hint="eastAsia" w:ascii="黑体" w:hAnsi="黑体" w:eastAsia="黑体"/>
          <w:color w:val="auto"/>
          <w:szCs w:val="32"/>
        </w:rPr>
        <w:t>二</w:t>
      </w:r>
      <w:r>
        <w:rPr>
          <w:rFonts w:ascii="黑体" w:hAnsi="黑体" w:eastAsia="黑体"/>
          <w:color w:val="auto"/>
          <w:szCs w:val="32"/>
        </w:rPr>
        <w:t>、</w:t>
      </w:r>
      <w:r>
        <w:rPr>
          <w:rFonts w:hint="eastAsia" w:ascii="黑体" w:hAnsi="黑体" w:eastAsia="黑体"/>
          <w:color w:val="auto"/>
          <w:szCs w:val="32"/>
          <w:lang w:eastAsia="zh-CN"/>
        </w:rPr>
        <w:t>202</w:t>
      </w:r>
      <w:r>
        <w:rPr>
          <w:rFonts w:hint="eastAsia" w:ascii="黑体" w:hAnsi="黑体" w:eastAsia="黑体"/>
          <w:color w:val="auto"/>
          <w:szCs w:val="32"/>
          <w:lang w:val="en-US" w:eastAsia="zh-CN"/>
        </w:rPr>
        <w:t>4</w:t>
      </w:r>
      <w:r>
        <w:rPr>
          <w:rFonts w:ascii="黑体" w:hAnsi="黑体" w:eastAsia="黑体"/>
          <w:color w:val="auto"/>
          <w:szCs w:val="32"/>
        </w:rPr>
        <w:t>年</w:t>
      </w:r>
      <w:r>
        <w:rPr>
          <w:rFonts w:hint="eastAsia" w:ascii="黑体" w:hAnsi="黑体" w:eastAsia="黑体"/>
          <w:color w:val="auto"/>
          <w:szCs w:val="32"/>
        </w:rPr>
        <w:t>度一般公共预算财政拨款“三公”经费支出</w:t>
      </w:r>
      <w:r>
        <w:rPr>
          <w:rFonts w:ascii="黑体" w:hAnsi="黑体" w:eastAsia="黑体"/>
          <w:color w:val="auto"/>
          <w:szCs w:val="32"/>
        </w:rPr>
        <w:t>情况说明</w:t>
      </w:r>
    </w:p>
    <w:p w14:paraId="23DDDF62">
      <w:pPr>
        <w:ind w:firstLine="643" w:firstLineChars="200"/>
        <w:rPr>
          <w:rFonts w:hint="eastAsia" w:ascii="仿宋_GB2312" w:hAnsi="仿宋"/>
          <w:b/>
          <w:color w:val="auto"/>
          <w:szCs w:val="32"/>
        </w:rPr>
      </w:pPr>
      <w:r>
        <w:rPr>
          <w:rFonts w:hint="eastAsia" w:ascii="仿宋_GB2312" w:hAnsi="仿宋"/>
          <w:b/>
          <w:color w:val="auto"/>
          <w:szCs w:val="32"/>
        </w:rPr>
        <w:t>（一）一般公共预算财政拨款“三公”经费支出决算总体情况说明。</w:t>
      </w:r>
    </w:p>
    <w:p w14:paraId="318D5343">
      <w:pPr>
        <w:ind w:firstLine="640" w:firstLineChars="200"/>
        <w:rPr>
          <w:rFonts w:hint="eastAsia" w:ascii="楷体_GB2312" w:hAnsi="仿宋" w:eastAsia="仿宋_GB2312"/>
          <w:b/>
          <w:bCs/>
          <w:color w:val="auto"/>
          <w:szCs w:val="32"/>
          <w:lang w:eastAsia="zh-CN"/>
        </w:rPr>
      </w:pPr>
      <w:r>
        <w:rPr>
          <w:rFonts w:hint="eastAsia" w:ascii="仿宋_GB2312" w:hAnsi="仿宋"/>
          <w:color w:val="auto"/>
          <w:szCs w:val="32"/>
          <w:lang w:eastAsia="zh-CN"/>
        </w:rPr>
        <w:t>黄山风景区市场监督管理局202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年度一般公共预算财政拨款“三公”经费支出预算为</w:t>
      </w:r>
      <w:r>
        <w:rPr>
          <w:rFonts w:hint="eastAsia" w:ascii="仿宋_GB2312" w:hAnsi="仿宋"/>
          <w:color w:val="auto"/>
          <w:szCs w:val="32"/>
          <w:lang w:val="en-US" w:eastAsia="zh-CN"/>
        </w:rPr>
        <w:t>21.4</w:t>
      </w:r>
      <w:r>
        <w:rPr>
          <w:rFonts w:hint="eastAsia" w:ascii="仿宋_GB2312" w:hAnsi="仿宋"/>
          <w:color w:val="auto"/>
          <w:szCs w:val="32"/>
        </w:rPr>
        <w:t>万元，支出决算为</w:t>
      </w:r>
      <w:r>
        <w:rPr>
          <w:rFonts w:hint="eastAsia" w:ascii="仿宋_GB2312" w:hAnsi="仿宋"/>
          <w:color w:val="auto"/>
          <w:szCs w:val="32"/>
          <w:lang w:val="en-US" w:eastAsia="zh-CN"/>
        </w:rPr>
        <w:t>12.59</w:t>
      </w:r>
      <w:r>
        <w:rPr>
          <w:rFonts w:hint="eastAsia" w:ascii="仿宋_GB2312" w:hAnsi="仿宋"/>
          <w:color w:val="auto"/>
          <w:szCs w:val="32"/>
        </w:rPr>
        <w:t>万元，完成预算的</w:t>
      </w:r>
      <w:r>
        <w:rPr>
          <w:rFonts w:hint="eastAsia" w:ascii="仿宋_GB2312" w:hAnsi="仿宋"/>
          <w:color w:val="auto"/>
          <w:szCs w:val="32"/>
          <w:lang w:val="en-US" w:eastAsia="zh-CN"/>
        </w:rPr>
        <w:t>58.8</w:t>
      </w:r>
      <w:r>
        <w:rPr>
          <w:rFonts w:hint="eastAsia" w:ascii="仿宋_GB2312" w:hAnsi="仿宋"/>
          <w:color w:val="auto"/>
          <w:szCs w:val="32"/>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1.98</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13.6%。</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w:t>
      </w:r>
      <w:r>
        <w:rPr>
          <w:rFonts w:hint="eastAsia" w:ascii="仿宋_GB2312" w:hAnsi="仿宋"/>
          <w:color w:val="auto"/>
          <w:szCs w:val="32"/>
          <w:u w:val="none"/>
          <w:lang w:eastAsia="zh-CN"/>
        </w:rPr>
        <w:t>严格</w:t>
      </w:r>
      <w:r>
        <w:rPr>
          <w:rFonts w:hint="eastAsia" w:ascii="仿宋_GB2312" w:hAnsi="仿宋"/>
          <w:color w:val="auto"/>
          <w:szCs w:val="32"/>
          <w:u w:val="none"/>
        </w:rPr>
        <w:t>按照厉行节约要求压缩三公经费支出。决算数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w:t>
      </w:r>
      <w:r>
        <w:rPr>
          <w:rFonts w:hint="eastAsia" w:ascii="仿宋_GB2312" w:hAnsi="仿宋"/>
          <w:color w:val="auto"/>
          <w:szCs w:val="32"/>
          <w:u w:val="none"/>
          <w:lang w:eastAsia="zh-CN"/>
        </w:rPr>
        <w:t>严格</w:t>
      </w:r>
      <w:r>
        <w:rPr>
          <w:rFonts w:hint="eastAsia" w:ascii="仿宋_GB2312" w:hAnsi="仿宋"/>
          <w:color w:val="auto"/>
          <w:szCs w:val="32"/>
          <w:u w:val="none"/>
        </w:rPr>
        <w:t>按照厉行节约要求压缩三公经费支出。</w:t>
      </w:r>
      <w:r>
        <w:rPr>
          <w:rFonts w:hint="eastAsia" w:ascii="仿宋_GB2312" w:hAnsi="仿宋"/>
          <w:b/>
          <w:bCs/>
          <w:color w:val="auto"/>
          <w:szCs w:val="32"/>
        </w:rPr>
        <w:t>为全面反映“三公”经费支出，本次公布的“三公”经费决算为</w:t>
      </w:r>
      <w:r>
        <w:rPr>
          <w:rFonts w:hint="eastAsia" w:ascii="仿宋_GB2312" w:hAnsi="仿宋"/>
          <w:b/>
          <w:bCs/>
          <w:color w:val="auto"/>
          <w:szCs w:val="32"/>
          <w:lang w:eastAsia="zh-CN"/>
        </w:rPr>
        <w:t>单位</w:t>
      </w:r>
      <w:r>
        <w:rPr>
          <w:rFonts w:hint="eastAsia" w:ascii="仿宋_GB2312" w:hAnsi="仿宋"/>
          <w:b/>
          <w:bCs/>
          <w:color w:val="auto"/>
          <w:szCs w:val="32"/>
        </w:rPr>
        <w:t>汇总数</w:t>
      </w:r>
      <w:r>
        <w:rPr>
          <w:rFonts w:hint="eastAsia" w:ascii="仿宋_GB2312" w:hAnsi="仿宋"/>
          <w:b/>
          <w:bCs/>
          <w:color w:val="auto"/>
          <w:szCs w:val="32"/>
          <w:lang w:eastAsia="zh-CN"/>
        </w:rPr>
        <w:t>。</w:t>
      </w:r>
    </w:p>
    <w:p w14:paraId="57AEBEBE">
      <w:pPr>
        <w:ind w:firstLine="643" w:firstLineChars="200"/>
        <w:rPr>
          <w:rFonts w:hint="eastAsia" w:ascii="仿宋_GB2312" w:hAnsi="仿宋"/>
          <w:b/>
          <w:color w:val="auto"/>
          <w:szCs w:val="32"/>
        </w:rPr>
      </w:pPr>
      <w:r>
        <w:rPr>
          <w:rFonts w:hint="eastAsia" w:ascii="仿宋_GB2312" w:hAnsi="仿宋"/>
          <w:b/>
          <w:bCs/>
          <w:color w:val="auto"/>
          <w:szCs w:val="32"/>
        </w:rPr>
        <w:t>（二）</w:t>
      </w:r>
      <w:r>
        <w:rPr>
          <w:rFonts w:hint="eastAsia" w:ascii="仿宋_GB2312" w:hAnsi="仿宋"/>
          <w:b/>
          <w:color w:val="auto"/>
          <w:szCs w:val="32"/>
        </w:rPr>
        <w:t>一般公共预算财政拨款“三公”经费支出决算具体情况说明。</w:t>
      </w:r>
    </w:p>
    <w:p w14:paraId="1D999B45">
      <w:pPr>
        <w:ind w:firstLine="640" w:firstLineChars="200"/>
        <w:rPr>
          <w:rFonts w:hint="eastAsia" w:ascii="仿宋_GB2312" w:hAnsi="仿宋"/>
          <w:color w:val="auto"/>
          <w:szCs w:val="32"/>
        </w:rPr>
      </w:pPr>
      <w:r>
        <w:rPr>
          <w:rFonts w:hint="eastAsia" w:ascii="仿宋_GB2312" w:hAnsi="仿宋"/>
          <w:color w:val="auto"/>
          <w:szCs w:val="32"/>
          <w:lang w:eastAsia="zh-CN"/>
        </w:rPr>
        <w:t>黄山风景区市场监督管理局202</w:t>
      </w:r>
      <w:r>
        <w:rPr>
          <w:rFonts w:hint="eastAsia" w:ascii="仿宋_GB2312" w:hAnsi="仿宋"/>
          <w:color w:val="auto"/>
          <w:szCs w:val="32"/>
          <w:lang w:val="en-US" w:eastAsia="zh-CN"/>
        </w:rPr>
        <w:t>4</w:t>
      </w:r>
      <w:r>
        <w:rPr>
          <w:rFonts w:hint="eastAsia" w:ascii="仿宋_GB2312" w:hAnsi="仿宋"/>
          <w:color w:val="auto"/>
          <w:szCs w:val="32"/>
        </w:rPr>
        <w:t>年度一般公共预算财政拨款“三公”经费支出决算中，因公出国（境）费支出决算</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w:t>
      </w:r>
      <w:r>
        <w:rPr>
          <w:rFonts w:hint="eastAsia" w:ascii="仿宋_GB2312" w:hAnsi="仿宋"/>
          <w:color w:val="auto"/>
          <w:szCs w:val="32"/>
        </w:rPr>
        <w:t>%;公务接待费支出决算</w:t>
      </w:r>
      <w:r>
        <w:rPr>
          <w:rFonts w:hint="eastAsia" w:ascii="仿宋_GB2312" w:hAnsi="仿宋"/>
          <w:color w:val="auto"/>
          <w:szCs w:val="32"/>
          <w:lang w:val="en-US" w:eastAsia="zh-CN"/>
        </w:rPr>
        <w:t>1.47</w:t>
      </w:r>
      <w:r>
        <w:rPr>
          <w:rFonts w:hint="eastAsia" w:ascii="仿宋_GB2312" w:hAnsi="仿宋"/>
          <w:color w:val="auto"/>
          <w:szCs w:val="32"/>
        </w:rPr>
        <w:t>万元，占</w:t>
      </w:r>
      <w:r>
        <w:rPr>
          <w:rFonts w:hint="eastAsia" w:ascii="仿宋_GB2312" w:hAnsi="仿宋"/>
          <w:color w:val="auto"/>
          <w:szCs w:val="32"/>
          <w:lang w:val="en-US" w:eastAsia="zh-CN"/>
        </w:rPr>
        <w:t>11.7</w:t>
      </w:r>
      <w:r>
        <w:rPr>
          <w:rFonts w:hint="eastAsia" w:ascii="仿宋_GB2312" w:hAnsi="仿宋"/>
          <w:color w:val="auto"/>
          <w:szCs w:val="32"/>
        </w:rPr>
        <w:t>%；公务用车购置及运行维护费支出决算</w:t>
      </w:r>
      <w:r>
        <w:rPr>
          <w:rFonts w:hint="eastAsia" w:ascii="仿宋_GB2312" w:hAnsi="仿宋"/>
          <w:color w:val="auto"/>
          <w:szCs w:val="32"/>
          <w:lang w:val="en-US" w:eastAsia="zh-CN"/>
        </w:rPr>
        <w:t>11.12</w:t>
      </w:r>
      <w:r>
        <w:rPr>
          <w:rFonts w:hint="eastAsia" w:ascii="仿宋_GB2312" w:hAnsi="仿宋"/>
          <w:color w:val="auto"/>
          <w:szCs w:val="32"/>
        </w:rPr>
        <w:t>万元，占</w:t>
      </w:r>
      <w:r>
        <w:rPr>
          <w:rFonts w:hint="eastAsia" w:ascii="仿宋_GB2312" w:hAnsi="仿宋"/>
          <w:color w:val="auto"/>
          <w:szCs w:val="32"/>
          <w:lang w:val="en-US" w:eastAsia="zh-CN"/>
        </w:rPr>
        <w:t>88.3</w:t>
      </w:r>
      <w:r>
        <w:rPr>
          <w:rFonts w:hint="eastAsia" w:ascii="仿宋_GB2312" w:hAnsi="仿宋"/>
          <w:color w:val="auto"/>
          <w:szCs w:val="32"/>
        </w:rPr>
        <w:t>%。具体情况如下：</w:t>
      </w:r>
    </w:p>
    <w:p w14:paraId="6FEC3A34">
      <w:pPr>
        <w:ind w:firstLine="628"/>
        <w:rPr>
          <w:rFonts w:hint="eastAsia" w:ascii="仿宋_GB2312" w:hAnsi="仿宋"/>
          <w:color w:val="auto"/>
          <w:szCs w:val="32"/>
        </w:rPr>
      </w:pPr>
      <w:r>
        <w:rPr>
          <w:rFonts w:hint="eastAsia" w:ascii="仿宋_GB2312" w:hAnsi="仿宋"/>
          <w:b/>
          <w:bCs/>
          <w:color w:val="auto"/>
          <w:szCs w:val="32"/>
        </w:rPr>
        <w:t>1.因公出国（境）费</w:t>
      </w:r>
      <w:r>
        <w:rPr>
          <w:rFonts w:hint="eastAsia" w:ascii="仿宋_GB2312" w:hAnsi="仿宋"/>
          <w:color w:val="auto"/>
          <w:szCs w:val="32"/>
        </w:rPr>
        <w:t>预算为0万元，支出决算为0万元，完成预算的100%，决算数与预算数相同；较上年减少0万元，下降0%。202</w:t>
      </w:r>
      <w:r>
        <w:rPr>
          <w:rFonts w:hint="eastAsia" w:ascii="仿宋_GB2312" w:hAnsi="仿宋"/>
          <w:color w:val="auto"/>
          <w:szCs w:val="32"/>
          <w:lang w:val="en-US" w:eastAsia="zh-CN"/>
        </w:rPr>
        <w:t>3</w:t>
      </w:r>
      <w:r>
        <w:rPr>
          <w:rFonts w:hint="eastAsia" w:ascii="仿宋_GB2312" w:hAnsi="仿宋"/>
          <w:color w:val="auto"/>
          <w:szCs w:val="32"/>
        </w:rPr>
        <w:t>年度未安排因公出国（境）计划</w:t>
      </w:r>
      <w:r>
        <w:rPr>
          <w:rFonts w:hint="eastAsia" w:ascii="仿宋_GB2312" w:hAnsi="仿宋"/>
          <w:color w:val="auto"/>
          <w:szCs w:val="32"/>
          <w:lang w:eastAsia="zh-CN"/>
        </w:rPr>
        <w:t>，</w:t>
      </w:r>
      <w:r>
        <w:rPr>
          <w:rFonts w:hint="eastAsia" w:ascii="仿宋_GB2312" w:hAnsi="仿宋"/>
          <w:color w:val="auto"/>
          <w:szCs w:val="32"/>
        </w:rPr>
        <w:t>故202</w:t>
      </w:r>
      <w:r>
        <w:rPr>
          <w:rFonts w:hint="eastAsia" w:ascii="仿宋_GB2312" w:hAnsi="仿宋"/>
          <w:color w:val="auto"/>
          <w:szCs w:val="32"/>
          <w:lang w:val="en-US" w:eastAsia="zh-CN"/>
        </w:rPr>
        <w:t>4</w:t>
      </w:r>
      <w:r>
        <w:rPr>
          <w:rFonts w:hint="eastAsia" w:ascii="仿宋_GB2312" w:hAnsi="仿宋"/>
          <w:color w:val="auto"/>
          <w:szCs w:val="32"/>
        </w:rPr>
        <w:t>年黄山风景区市场监督管理局因公出国（境）团组0次，累计出国（境）0人次。</w:t>
      </w:r>
    </w:p>
    <w:p w14:paraId="5A68903B">
      <w:pPr>
        <w:ind w:firstLine="643" w:firstLineChars="200"/>
        <w:rPr>
          <w:rFonts w:hint="eastAsia" w:ascii="仿宋_GB2312" w:hAnsi="仿宋"/>
          <w:color w:val="auto"/>
          <w:szCs w:val="32"/>
          <w:u w:val="none"/>
        </w:rPr>
      </w:pPr>
      <w:r>
        <w:rPr>
          <w:rFonts w:hint="eastAsia" w:ascii="仿宋_GB2312" w:hAnsi="仿宋"/>
          <w:b/>
          <w:bCs/>
          <w:color w:val="auto"/>
          <w:szCs w:val="32"/>
        </w:rPr>
        <w:t>2.公务接待费</w:t>
      </w:r>
      <w:r>
        <w:rPr>
          <w:rFonts w:hint="eastAsia" w:ascii="仿宋_GB2312" w:hAnsi="仿宋"/>
          <w:color w:val="auto"/>
          <w:szCs w:val="32"/>
          <w:lang w:eastAsia="zh-CN"/>
        </w:rPr>
        <w:t>预算为</w:t>
      </w:r>
      <w:r>
        <w:rPr>
          <w:rFonts w:hint="eastAsia" w:ascii="仿宋_GB2312" w:hAnsi="仿宋"/>
          <w:color w:val="auto"/>
          <w:szCs w:val="32"/>
          <w:lang w:val="en-US" w:eastAsia="zh-CN"/>
        </w:rPr>
        <w:t>4.4</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1.47万元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33.4</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1.47</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50%。</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于预算数的主要原因是按照厉行节约要求压缩三公经费支出</w:t>
      </w:r>
      <w:r>
        <w:rPr>
          <w:rFonts w:hint="eastAsia" w:ascii="仿宋_GB2312" w:hAnsi="仿宋"/>
          <w:color w:val="auto"/>
          <w:szCs w:val="32"/>
          <w:u w:val="none"/>
          <w:lang w:eastAsia="zh-CN"/>
        </w:rPr>
        <w:t>。决算数较上年减少</w:t>
      </w:r>
      <w:r>
        <w:rPr>
          <w:rFonts w:hint="eastAsia" w:ascii="仿宋_GB2312" w:hAnsi="仿宋"/>
          <w:color w:val="auto"/>
          <w:szCs w:val="32"/>
          <w:u w:val="none"/>
        </w:rPr>
        <w:t>的主要原因是按照厉行节约要求压缩三公经费支出</w:t>
      </w:r>
      <w:r>
        <w:rPr>
          <w:rFonts w:hint="eastAsia" w:ascii="仿宋_GB2312" w:hAnsi="仿宋"/>
          <w:color w:val="auto"/>
          <w:szCs w:val="32"/>
          <w:u w:val="none"/>
          <w:lang w:eastAsia="zh-CN"/>
        </w:rPr>
        <w:t>。</w:t>
      </w:r>
      <w:r>
        <w:rPr>
          <w:rFonts w:hint="eastAsia" w:ascii="仿宋_GB2312" w:hAnsi="仿宋"/>
          <w:color w:val="auto"/>
          <w:szCs w:val="32"/>
          <w:u w:val="none"/>
        </w:rPr>
        <w:t>202</w:t>
      </w:r>
      <w:r>
        <w:rPr>
          <w:rFonts w:hint="eastAsia" w:ascii="仿宋_GB2312" w:hAnsi="仿宋"/>
          <w:color w:val="auto"/>
          <w:szCs w:val="32"/>
          <w:u w:val="none"/>
          <w:lang w:val="en-US" w:eastAsia="zh-CN"/>
        </w:rPr>
        <w:t>4</w:t>
      </w:r>
      <w:r>
        <w:rPr>
          <w:rFonts w:hint="eastAsia" w:ascii="仿宋_GB2312" w:hAnsi="仿宋"/>
          <w:color w:val="auto"/>
          <w:szCs w:val="32"/>
          <w:u w:val="none"/>
        </w:rPr>
        <w:t>年黄山风景区市场监督管理局国内公务接待共</w:t>
      </w:r>
      <w:r>
        <w:rPr>
          <w:rFonts w:hint="eastAsia" w:ascii="仿宋_GB2312" w:hAnsi="仿宋"/>
          <w:color w:val="auto"/>
          <w:szCs w:val="32"/>
          <w:u w:val="none"/>
          <w:lang w:val="en-US" w:eastAsia="zh-CN"/>
        </w:rPr>
        <w:t>17</w:t>
      </w:r>
      <w:r>
        <w:rPr>
          <w:rFonts w:hint="eastAsia" w:ascii="仿宋_GB2312" w:hAnsi="仿宋"/>
          <w:color w:val="auto"/>
          <w:szCs w:val="32"/>
          <w:u w:val="none"/>
        </w:rPr>
        <w:t>批次（其中外事接待0批次），</w:t>
      </w:r>
      <w:r>
        <w:rPr>
          <w:rFonts w:hint="eastAsia" w:ascii="仿宋_GB2312" w:hAnsi="仿宋"/>
          <w:color w:val="auto"/>
          <w:szCs w:val="32"/>
          <w:u w:val="none"/>
          <w:lang w:val="en-US" w:eastAsia="zh-CN"/>
        </w:rPr>
        <w:t>125</w:t>
      </w:r>
      <w:r>
        <w:rPr>
          <w:rFonts w:hint="eastAsia" w:ascii="仿宋_GB2312" w:hAnsi="仿宋"/>
          <w:color w:val="auto"/>
          <w:szCs w:val="32"/>
          <w:u w:val="none"/>
        </w:rPr>
        <w:t>人次（其中外事接待0人次）。主要是用于邀请国家局及省、市业务主管部门指导调研及单位正常公务接待需要。经费使用贯彻中央八项规定精神，严格执行《党政机关厉行节约反对浪费条例》《黄山市党政机关国内公务接待管理细则》（黄办〔2014〕21号）、《黄山市党政机关国内公务考察及公务接待管理暂行办法》（黄办〔2013〕11号）、《黄山市市直机关外宾接待经费管理办法》（黄财行〔2014〕317号）、《关于进一步加强公务接待经费管理的通知》（黄财行〔2015〕315号）等相关规定。</w:t>
      </w:r>
    </w:p>
    <w:p w14:paraId="4AC68EA2">
      <w:pPr>
        <w:ind w:firstLine="643" w:firstLineChars="200"/>
        <w:rPr>
          <w:rFonts w:hint="eastAsia" w:ascii="仿宋_GB2312" w:hAnsi="仿宋"/>
          <w:color w:val="auto"/>
          <w:szCs w:val="32"/>
        </w:rPr>
      </w:pPr>
      <w:r>
        <w:rPr>
          <w:rFonts w:hint="eastAsia" w:ascii="仿宋_GB2312" w:hAnsi="仿宋"/>
          <w:b/>
          <w:bCs/>
          <w:color w:val="auto"/>
          <w:szCs w:val="32"/>
        </w:rPr>
        <w:t>3.公务用车购置及运行维护费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17</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11.12万元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65.4</w:t>
      </w:r>
      <w:r>
        <w:rPr>
          <w:rFonts w:hint="eastAsia" w:ascii="仿宋_GB2312" w:hAnsi="仿宋"/>
          <w:color w:val="auto"/>
          <w:szCs w:val="32"/>
          <w:lang w:eastAsia="zh-CN"/>
        </w:rPr>
        <w:t>%；</w:t>
      </w:r>
      <w:bookmarkStart w:id="0" w:name="_GoBack"/>
      <w:bookmarkEnd w:id="0"/>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0.51</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4.4%。</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于预算数的主要原因按照厉行节约要求压缩三公经费支出。决算数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的主要原因是按照厉行节约要求压缩三公经费支出</w:t>
      </w:r>
      <w:r>
        <w:rPr>
          <w:rFonts w:hint="eastAsia" w:ascii="仿宋_GB2312" w:hAnsi="仿宋"/>
          <w:color w:val="auto"/>
          <w:szCs w:val="32"/>
          <w:u w:val="none"/>
          <w:lang w:eastAsia="zh-CN"/>
        </w:rPr>
        <w:t>。</w:t>
      </w:r>
      <w:r>
        <w:rPr>
          <w:rFonts w:hint="eastAsia" w:ascii="仿宋_GB2312" w:hAnsi="仿宋"/>
          <w:color w:val="auto"/>
          <w:szCs w:val="32"/>
        </w:rPr>
        <w:t>其中，公务用车购置费</w:t>
      </w:r>
      <w:r>
        <w:rPr>
          <w:rFonts w:hint="eastAsia" w:ascii="仿宋_GB2312" w:hAnsi="仿宋"/>
          <w:color w:val="auto"/>
          <w:szCs w:val="32"/>
          <w:lang w:eastAsia="zh-CN"/>
        </w:rPr>
        <w:t>预算为</w:t>
      </w:r>
      <w:r>
        <w:rPr>
          <w:rFonts w:hint="eastAsia" w:ascii="仿宋_GB2312" w:hAnsi="仿宋"/>
          <w:color w:val="auto"/>
          <w:szCs w:val="32"/>
          <w:lang w:val="en-US" w:eastAsia="zh-CN"/>
        </w:rPr>
        <w:t>0</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0万元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0</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0%。决算数小于预算数的主要原因是2024年没有安排公务用车购置费。</w:t>
      </w:r>
      <w:r>
        <w:rPr>
          <w:rFonts w:hint="eastAsia" w:ascii="仿宋_GB2312" w:hAnsi="仿宋"/>
          <w:color w:val="auto"/>
          <w:szCs w:val="32"/>
        </w:rPr>
        <w:t>公务用车运行维护费</w:t>
      </w:r>
      <w:r>
        <w:rPr>
          <w:rFonts w:hint="eastAsia" w:ascii="仿宋_GB2312" w:hAnsi="仿宋"/>
          <w:color w:val="auto"/>
          <w:szCs w:val="32"/>
          <w:lang w:eastAsia="zh-CN"/>
        </w:rPr>
        <w:t>预算为</w:t>
      </w:r>
      <w:r>
        <w:rPr>
          <w:rFonts w:hint="eastAsia" w:ascii="仿宋_GB2312" w:hAnsi="仿宋"/>
          <w:color w:val="auto"/>
          <w:szCs w:val="32"/>
          <w:lang w:val="en-US" w:eastAsia="zh-CN"/>
        </w:rPr>
        <w:t>17</w:t>
      </w:r>
      <w:r>
        <w:rPr>
          <w:rFonts w:hint="eastAsia" w:ascii="仿宋_GB2312" w:hAnsi="仿宋"/>
          <w:color w:val="auto"/>
          <w:szCs w:val="32"/>
          <w:lang w:eastAsia="zh-CN"/>
        </w:rPr>
        <w:t>万元，支出决算为</w:t>
      </w:r>
      <w:r>
        <w:rPr>
          <w:rFonts w:hint="eastAsia" w:ascii="仿宋_GB2312" w:hAnsi="仿宋"/>
          <w:color w:val="auto"/>
          <w:szCs w:val="32"/>
          <w:lang w:val="en-US" w:eastAsia="zh-CN"/>
        </w:rPr>
        <w:t>11.12万元</w:t>
      </w:r>
      <w:r>
        <w:rPr>
          <w:rFonts w:hint="eastAsia" w:ascii="仿宋_GB2312" w:hAnsi="仿宋"/>
          <w:color w:val="auto"/>
          <w:szCs w:val="32"/>
          <w:lang w:eastAsia="zh-CN"/>
        </w:rPr>
        <w:t>，完成预算的</w:t>
      </w:r>
      <w:r>
        <w:rPr>
          <w:rFonts w:hint="eastAsia" w:ascii="仿宋_GB2312" w:hAnsi="仿宋"/>
          <w:color w:val="auto"/>
          <w:szCs w:val="32"/>
          <w:lang w:val="en-US" w:eastAsia="zh-CN"/>
        </w:rPr>
        <w:t>65.4</w:t>
      </w:r>
      <w:r>
        <w:rPr>
          <w:rFonts w:hint="eastAsia" w:ascii="仿宋_GB2312" w:hAnsi="仿宋"/>
          <w:color w:val="auto"/>
          <w:szCs w:val="32"/>
          <w:lang w:eastAsia="zh-CN"/>
        </w:rPr>
        <w:t>%；</w:t>
      </w:r>
      <w:r>
        <w:rPr>
          <w:rFonts w:hint="eastAsia" w:ascii="仿宋_GB2312" w:hAnsi="仿宋"/>
          <w:color w:val="auto"/>
          <w:szCs w:val="32"/>
          <w:u w:val="none"/>
          <w:lang w:eastAsia="zh-CN"/>
        </w:rPr>
        <w:t>较上年减少</w:t>
      </w:r>
      <w:r>
        <w:rPr>
          <w:rFonts w:hint="eastAsia" w:ascii="仿宋_GB2312" w:hAnsi="仿宋"/>
          <w:color w:val="auto"/>
          <w:szCs w:val="32"/>
          <w:u w:val="none"/>
          <w:lang w:val="en-US" w:eastAsia="zh-CN"/>
        </w:rPr>
        <w:t>0.51</w:t>
      </w:r>
      <w:r>
        <w:rPr>
          <w:rFonts w:hint="eastAsia" w:ascii="仿宋_GB2312" w:hAnsi="仿宋"/>
          <w:color w:val="auto"/>
          <w:szCs w:val="32"/>
          <w:u w:val="none"/>
        </w:rPr>
        <w:t>万元</w:t>
      </w:r>
      <w:r>
        <w:rPr>
          <w:rFonts w:hint="eastAsia" w:ascii="仿宋_GB2312" w:hAnsi="仿宋"/>
          <w:color w:val="auto"/>
          <w:szCs w:val="32"/>
          <w:u w:val="none"/>
          <w:lang w:eastAsia="zh-CN"/>
        </w:rPr>
        <w:t>，下降</w:t>
      </w:r>
      <w:r>
        <w:rPr>
          <w:rFonts w:hint="eastAsia" w:ascii="仿宋_GB2312" w:hAnsi="仿宋"/>
          <w:color w:val="auto"/>
          <w:szCs w:val="32"/>
          <w:u w:val="none"/>
          <w:lang w:val="en-US" w:eastAsia="zh-CN"/>
        </w:rPr>
        <w:t>4.4%。</w:t>
      </w:r>
      <w:r>
        <w:rPr>
          <w:rFonts w:hint="eastAsia" w:ascii="仿宋_GB2312" w:hAnsi="仿宋"/>
          <w:color w:val="auto"/>
          <w:szCs w:val="32"/>
          <w:u w:val="none"/>
        </w:rPr>
        <w:t>决算数</w:t>
      </w:r>
      <w:r>
        <w:rPr>
          <w:rFonts w:hint="eastAsia" w:ascii="仿宋_GB2312" w:hAnsi="仿宋"/>
          <w:color w:val="auto"/>
          <w:szCs w:val="32"/>
          <w:u w:val="none"/>
          <w:lang w:eastAsia="zh-CN"/>
        </w:rPr>
        <w:t>小</w:t>
      </w:r>
      <w:r>
        <w:rPr>
          <w:rFonts w:hint="eastAsia" w:ascii="仿宋_GB2312" w:hAnsi="仿宋"/>
          <w:color w:val="auto"/>
          <w:szCs w:val="32"/>
          <w:u w:val="none"/>
        </w:rPr>
        <w:t>于预算数的主要原因是按照厉行节约要求压缩三公经费支出。决算数</w:t>
      </w:r>
      <w:r>
        <w:rPr>
          <w:rFonts w:hint="eastAsia" w:ascii="仿宋_GB2312" w:hAnsi="仿宋"/>
          <w:color w:val="auto"/>
          <w:szCs w:val="32"/>
          <w:u w:val="none"/>
          <w:lang w:eastAsia="zh-CN"/>
        </w:rPr>
        <w:t>较上年减少</w:t>
      </w:r>
      <w:r>
        <w:rPr>
          <w:rFonts w:hint="eastAsia" w:ascii="仿宋_GB2312" w:hAnsi="仿宋"/>
          <w:color w:val="auto"/>
          <w:szCs w:val="32"/>
          <w:u w:val="none"/>
        </w:rPr>
        <w:t>的主要原因是按照厉行节约要求压缩三公经费支出。</w:t>
      </w:r>
      <w:r>
        <w:rPr>
          <w:rFonts w:hint="eastAsia" w:ascii="仿宋_GB2312" w:hAnsi="仿宋"/>
          <w:color w:val="auto"/>
          <w:szCs w:val="32"/>
        </w:rPr>
        <w:t>公务用车运行维护费，包括车辆燃料费、维修费、过路过桥费、保险费等支出，主要用于车辆燃料费、维修费、过路过桥费、保险费等支出。截至202</w:t>
      </w:r>
      <w:r>
        <w:rPr>
          <w:rFonts w:hint="eastAsia" w:ascii="仿宋_GB2312" w:hAnsi="仿宋"/>
          <w:color w:val="auto"/>
          <w:szCs w:val="32"/>
          <w:lang w:val="en-US" w:eastAsia="zh-CN"/>
        </w:rPr>
        <w:t>4</w:t>
      </w:r>
      <w:r>
        <w:rPr>
          <w:rFonts w:hint="eastAsia" w:ascii="仿宋_GB2312" w:hAnsi="仿宋"/>
          <w:color w:val="auto"/>
          <w:szCs w:val="32"/>
        </w:rPr>
        <w:t>年12月31日，黄山风景区市场监督管理局开支财政拨款的公务用车保有量为5辆。</w:t>
      </w:r>
    </w:p>
    <w:p w14:paraId="4862B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YmQ2MWY0MzY5NTk5YzJiMGVlMGRlMmNkYWM0MjYifQ=="/>
  </w:docVars>
  <w:rsids>
    <w:rsidRoot w:val="71353737"/>
    <w:rsid w:val="19F4459C"/>
    <w:rsid w:val="27D97F98"/>
    <w:rsid w:val="41AC36ED"/>
    <w:rsid w:val="473841ED"/>
    <w:rsid w:val="57AF1593"/>
    <w:rsid w:val="70EB400D"/>
    <w:rsid w:val="71353737"/>
    <w:rsid w:val="72CB65F3"/>
    <w:rsid w:val="75D15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1614</Words>
  <Characters>1789</Characters>
  <Lines>0</Lines>
  <Paragraphs>0</Paragraphs>
  <TotalTime>9</TotalTime>
  <ScaleCrop>false</ScaleCrop>
  <LinksUpToDate>false</LinksUpToDate>
  <CharactersWithSpaces>1856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2024-09-24T02:47:00Z</dcterms:created>
  <dc:creator>菡。。</dc:creator>
  <cp:lastModifiedBy>菡。。</cp:lastModifiedBy>
  <cp:lastPrinted>2024-09-26T01:20:00Z</cp:lastPrinted>
  <dcterms:modified xsi:type="dcterms:W3CDTF">2025-09-17T08:56:32Z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7880E98F614344AF9450D9993D4CFF3B_13</vt:lpwstr>
  </property>
  <property fmtid="{D5CDD505-2E9C-101B-9397-08002B2CF9AE}" pid="4" name="KSOTemplateDocerSaveRecord">
    <vt:lpwstr>eyJoZGlkIjoiMzhhYmQ2MWY0MzY5NTk5YzJiMGVlMGRlMmNkYWM0MjYiLCJ1c2VySWQiOiIzMDU2OTc2NjcifQ==</vt:lpwstr>
  </property>
</Properties>
</file>