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21" w:rsidRDefault="00252A21" w:rsidP="00252A21">
      <w:pPr>
        <w:pStyle w:val="1"/>
        <w:tabs>
          <w:tab w:val="left" w:pos="420"/>
          <w:tab w:val="left" w:pos="1260"/>
        </w:tabs>
        <w:spacing w:line="360" w:lineRule="auto"/>
        <w:ind w:left="0" w:firstLine="0"/>
        <w:jc w:val="center"/>
        <w:rPr>
          <w:rFonts w:ascii="方正小标宋简体" w:eastAsia="方正小标宋简体" w:hAnsi="方正小标宋简体" w:cs="方正小标宋简体" w:hint="eastAsia"/>
          <w:color w:val="000000"/>
          <w:szCs w:val="36"/>
        </w:rPr>
      </w:pPr>
      <w:bookmarkStart w:id="0" w:name="_Toc5418"/>
      <w:r w:rsidRPr="004C6A1E">
        <w:rPr>
          <w:rFonts w:ascii="方正小标宋简体" w:eastAsia="方正小标宋简体" w:hAnsi="方正小标宋简体" w:cs="方正小标宋简体" w:hint="eastAsia"/>
          <w:color w:val="000000"/>
          <w:szCs w:val="36"/>
        </w:rPr>
        <w:t>黄山风景区管委会代理记账服务平台采购项目</w:t>
      </w:r>
    </w:p>
    <w:p w:rsidR="00252A21" w:rsidRPr="004C6A1E" w:rsidRDefault="00252A21" w:rsidP="00252A21">
      <w:pPr>
        <w:pStyle w:val="1"/>
        <w:tabs>
          <w:tab w:val="left" w:pos="420"/>
          <w:tab w:val="left" w:pos="1260"/>
        </w:tabs>
        <w:spacing w:line="360" w:lineRule="auto"/>
        <w:ind w:left="0" w:firstLine="0"/>
        <w:jc w:val="center"/>
        <w:rPr>
          <w:rFonts w:ascii="宋体" w:hAnsi="宋体" w:cs="宋体" w:hint="eastAsia"/>
          <w:sz w:val="32"/>
          <w:szCs w:val="32"/>
        </w:rPr>
      </w:pPr>
      <w:r w:rsidRPr="00252A21">
        <w:rPr>
          <w:rFonts w:ascii="方正小标宋简体" w:eastAsia="方正小标宋简体" w:hAnsi="方正小标宋简体" w:cs="方正小标宋简体" w:hint="eastAsia"/>
          <w:color w:val="000000"/>
          <w:szCs w:val="36"/>
        </w:rPr>
        <w:t>采购需求及评分办法</w:t>
      </w:r>
    </w:p>
    <w:bookmarkEnd w:id="0"/>
    <w:p w:rsidR="00252A21" w:rsidRPr="00632E07" w:rsidRDefault="00252A21" w:rsidP="00252A21">
      <w:pPr>
        <w:ind w:firstLineChars="200" w:firstLine="562"/>
        <w:rPr>
          <w:rFonts w:ascii="黑体" w:eastAsia="黑体" w:hAnsi="黑体" w:cs="黑体" w:hint="eastAsia"/>
          <w:b/>
          <w:bCs/>
          <w:color w:val="000000"/>
          <w:sz w:val="28"/>
          <w:szCs w:val="28"/>
        </w:rPr>
      </w:pPr>
      <w:r w:rsidRPr="00632E07">
        <w:rPr>
          <w:rFonts w:ascii="黑体" w:eastAsia="黑体" w:hAnsi="黑体" w:cs="黑体" w:hint="eastAsia"/>
          <w:b/>
          <w:bCs/>
          <w:color w:val="000000"/>
          <w:sz w:val="28"/>
          <w:szCs w:val="28"/>
        </w:rPr>
        <w:t>一、服务需求</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（一）为黄山风景区管委会提供委托代理记账服务。如服务期内内设单位调整，中标单位需根据采购人要求同步调整服务。具体账务包括：</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1.黄山风景区管委会（内设13家二级机构）、黄山风景区公安局、黄山风景区市场监督管理局行政事业单位账务、资产卡片账；</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2.黄山鸣泉文化旅游有限公司账务；</w:t>
      </w:r>
    </w:p>
    <w:p w:rsidR="00252A21" w:rsidRPr="00632E07" w:rsidRDefault="00252A21" w:rsidP="00252A21">
      <w:pPr>
        <w:ind w:firstLineChars="200" w:firstLine="560"/>
        <w:rPr>
          <w:rFonts w:ascii="仿宋" w:eastAsia="仿宋" w:hAnsi="仿宋" w:cs="仿宋"/>
          <w:color w:val="000000"/>
          <w:sz w:val="28"/>
          <w:szCs w:val="28"/>
        </w:rPr>
      </w:pPr>
      <w:r w:rsidRPr="00632E07">
        <w:rPr>
          <w:rFonts w:ascii="仿宋" w:eastAsia="仿宋" w:hAnsi="仿宋" w:cs="仿宋" w:hint="eastAsia"/>
          <w:color w:val="000000"/>
          <w:sz w:val="28"/>
          <w:szCs w:val="28"/>
        </w:rPr>
        <w:t>3.黄山对外文化艺术中心账务；</w:t>
      </w:r>
    </w:p>
    <w:p w:rsidR="00252A21" w:rsidRPr="00632E07" w:rsidRDefault="00252A21" w:rsidP="00252A21">
      <w:pPr>
        <w:ind w:firstLineChars="200" w:firstLine="560"/>
        <w:rPr>
          <w:rFonts w:ascii="仿宋" w:eastAsia="仿宋" w:hAnsi="仿宋" w:cs="仿宋"/>
          <w:color w:val="000000"/>
          <w:sz w:val="28"/>
          <w:szCs w:val="28"/>
        </w:rPr>
      </w:pPr>
      <w:r w:rsidRPr="00632E07">
        <w:rPr>
          <w:rFonts w:ascii="仿宋" w:eastAsia="仿宋" w:hAnsi="仿宋" w:cs="仿宋" w:hint="eastAsia"/>
          <w:color w:val="000000"/>
          <w:sz w:val="28"/>
          <w:szCs w:val="28"/>
        </w:rPr>
        <w:t>4.黄山风景区社保基金账：企业养老补差基金账套、管委会养老保险基金账套、失业保险账套、景区企业聘用人员保险账套。</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（二）投标人应当经相关业务主管部门批准建立、依法办理工商登记。须是具有本事项的执业资格或代理记账许可证，有固定的办公场所。</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（三）黄山风景区管委会提供必要的办公场所和办公设备，受托方配备两名固定代理记账专业人员，在黄山风景区管理委员会综合</w:t>
      </w:r>
      <w:proofErr w:type="gramStart"/>
      <w:r w:rsidRPr="00632E07">
        <w:rPr>
          <w:rFonts w:ascii="仿宋" w:eastAsia="仿宋" w:hAnsi="仿宋" w:cs="仿宋" w:hint="eastAsia"/>
          <w:color w:val="000000"/>
          <w:sz w:val="28"/>
          <w:szCs w:val="28"/>
        </w:rPr>
        <w:t>楼代账中心</w:t>
      </w:r>
      <w:proofErr w:type="gramEnd"/>
      <w:r w:rsidRPr="00632E07">
        <w:rPr>
          <w:rFonts w:ascii="仿宋" w:eastAsia="仿宋" w:hAnsi="仿宋" w:cs="仿宋" w:hint="eastAsia"/>
          <w:color w:val="000000"/>
          <w:sz w:val="28"/>
          <w:szCs w:val="28"/>
        </w:rPr>
        <w:t>（2114室）驻点办公，严格执行财政局上下班制度及有关保密纪律，特殊情况请假应报备，期间所发生的办公费用由管委会承担。</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（四）派驻2名</w:t>
      </w:r>
      <w:proofErr w:type="gramStart"/>
      <w:r w:rsidRPr="00632E07">
        <w:rPr>
          <w:rFonts w:ascii="仿宋" w:eastAsia="仿宋" w:hAnsi="仿宋" w:cs="仿宋" w:hint="eastAsia"/>
          <w:color w:val="000000"/>
          <w:sz w:val="28"/>
          <w:szCs w:val="28"/>
        </w:rPr>
        <w:t>固定代账人员</w:t>
      </w:r>
      <w:proofErr w:type="gramEnd"/>
      <w:r w:rsidRPr="00632E07">
        <w:rPr>
          <w:rFonts w:ascii="仿宋" w:eastAsia="仿宋" w:hAnsi="仿宋" w:cs="仿宋" w:hint="eastAsia"/>
          <w:color w:val="000000"/>
          <w:sz w:val="28"/>
          <w:szCs w:val="28"/>
        </w:rPr>
        <w:t>要求：身体健康，年龄不超过58</w:t>
      </w:r>
      <w:r w:rsidRPr="00632E07">
        <w:rPr>
          <w:rFonts w:ascii="仿宋" w:eastAsia="仿宋" w:hAnsi="仿宋" w:cs="仿宋" w:hint="eastAsia"/>
          <w:color w:val="000000"/>
          <w:sz w:val="28"/>
          <w:szCs w:val="28"/>
        </w:rPr>
        <w:lastRenderedPageBreak/>
        <w:t>周岁，大专及以上学历，财经类专业（经济学大类、会计、审计、财务管理相关专业）优先，具备独立处理财务事务及财务管理能力，能严格执行财经纪律等各项财务管理制度，其中一名主管代理记账负责人要求具备会计师及以上会计专业技术资格。委派前需提供健康证、学历证书、个人履历表、会计从业资格证复印件、在单位缴纳的近3个月</w:t>
      </w:r>
      <w:proofErr w:type="gramStart"/>
      <w:r w:rsidRPr="00632E07">
        <w:rPr>
          <w:rFonts w:ascii="仿宋" w:eastAsia="仿宋" w:hAnsi="仿宋" w:cs="仿宋" w:hint="eastAsia"/>
          <w:color w:val="000000"/>
          <w:sz w:val="28"/>
          <w:szCs w:val="28"/>
        </w:rPr>
        <w:t>社保证明</w:t>
      </w:r>
      <w:proofErr w:type="gramEnd"/>
      <w:r w:rsidRPr="00632E07">
        <w:rPr>
          <w:rFonts w:ascii="仿宋" w:eastAsia="仿宋" w:hAnsi="仿宋" w:cs="仿宋" w:hint="eastAsia"/>
          <w:color w:val="000000"/>
          <w:sz w:val="28"/>
          <w:szCs w:val="28"/>
        </w:rPr>
        <w:t>等有关资料。</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（五）如服务期内变更代理记账人员，须经过委托方同意。</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（六）委托代理记账业务范围</w:t>
      </w:r>
    </w:p>
    <w:p w:rsidR="00252A21" w:rsidRPr="00632E07" w:rsidRDefault="00252A21" w:rsidP="00252A21">
      <w:pPr>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 xml:space="preserve">    根据《会计法》《政府会计准则》《政府会计制度》等法律法规和委托单位的要求，使用黄山风景区管委会财政统一的单位核算软件，全面、真实、合法的开展各项委托代理业务，具体要求如下:</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1.设计会计凭证传递程序，做好凭证签收工作；</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2.审核各单位提供的原始凭证、编制记账凭证，登记合计账册;</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3.每月进行对账、结账(确保支付系统和账务系统对</w:t>
      </w:r>
      <w:proofErr w:type="gramStart"/>
      <w:r w:rsidRPr="00632E07">
        <w:rPr>
          <w:rFonts w:ascii="仿宋" w:eastAsia="仿宋" w:hAnsi="仿宋" w:cs="仿宋" w:hint="eastAsia"/>
          <w:color w:val="000000"/>
          <w:sz w:val="28"/>
          <w:szCs w:val="28"/>
        </w:rPr>
        <w:t>账</w:t>
      </w:r>
      <w:proofErr w:type="gramEnd"/>
      <w:r w:rsidRPr="00632E07">
        <w:rPr>
          <w:rFonts w:ascii="仿宋" w:eastAsia="仿宋" w:hAnsi="仿宋" w:cs="仿宋" w:hint="eastAsia"/>
          <w:color w:val="000000"/>
          <w:sz w:val="28"/>
          <w:szCs w:val="28"/>
        </w:rPr>
        <w:t>一致)，于次月8日前向委托单位报送纸质财务报表，按季度整理装订会计凭证及附件，年度结束打印装订会计账簿；</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4.年度内按《会计档案管理办法》规定存档保管会计档案，严禁任何会计资料外流，次年3月底前将完整会计档案移交委托单位保管;</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5.积极主动配合委托单位做好财务检查、审计等工作，配合委托单位办理年度预算编制工作，按有关规定要求，完成决算编制工作、临时性数据公开和报表上报;</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lastRenderedPageBreak/>
        <w:t>6.根据委托合同定期或不定期提供财务情况说明，提出加强单位财务管理的建议和意见;</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7.除非法律有明确规定，否则对外披露必须取得委托单位的书面同意;</w:t>
      </w:r>
    </w:p>
    <w:p w:rsidR="00252A21" w:rsidRPr="00632E07" w:rsidRDefault="00252A21" w:rsidP="00252A21">
      <w:pPr>
        <w:ind w:firstLineChars="200" w:firstLine="560"/>
        <w:rPr>
          <w:rFonts w:ascii="仿宋" w:eastAsia="仿宋" w:hAnsi="仿宋" w:cs="仿宋" w:hint="eastAsia"/>
          <w:color w:val="000000"/>
          <w:sz w:val="28"/>
          <w:szCs w:val="28"/>
        </w:rPr>
      </w:pPr>
      <w:r w:rsidRPr="00632E07">
        <w:rPr>
          <w:rFonts w:ascii="仿宋" w:eastAsia="仿宋" w:hAnsi="仿宋" w:cs="仿宋" w:hint="eastAsia"/>
          <w:color w:val="000000"/>
          <w:sz w:val="28"/>
          <w:szCs w:val="28"/>
        </w:rPr>
        <w:t>8.所有受托事项需接受并采纳委托单位的业务指导。</w:t>
      </w:r>
    </w:p>
    <w:p w:rsidR="00252A21" w:rsidRPr="00632E07" w:rsidRDefault="00252A21" w:rsidP="00252A21">
      <w:pPr>
        <w:ind w:firstLineChars="200" w:firstLine="562"/>
        <w:rPr>
          <w:rFonts w:ascii="黑体" w:eastAsia="黑体" w:hAnsi="黑体" w:cs="黑体" w:hint="eastAsia"/>
          <w:b/>
          <w:bCs/>
          <w:color w:val="000000"/>
          <w:sz w:val="28"/>
          <w:szCs w:val="28"/>
        </w:rPr>
      </w:pPr>
      <w:r w:rsidRPr="00632E07">
        <w:rPr>
          <w:rFonts w:ascii="黑体" w:eastAsia="黑体" w:hAnsi="黑体" w:cs="黑体" w:hint="eastAsia"/>
          <w:b/>
          <w:bCs/>
          <w:color w:val="000000"/>
          <w:sz w:val="28"/>
          <w:szCs w:val="28"/>
        </w:rPr>
        <w:t>二、服务期限：</w:t>
      </w:r>
      <w:r w:rsidRPr="00632E07">
        <w:rPr>
          <w:rFonts w:ascii="仿宋" w:eastAsia="仿宋" w:hAnsi="仿宋" w:cs="仿宋" w:hint="eastAsia"/>
          <w:color w:val="000000"/>
          <w:sz w:val="28"/>
          <w:szCs w:val="28"/>
        </w:rPr>
        <w:t>2025年1月1日到2026年12月31日。</w:t>
      </w:r>
    </w:p>
    <w:p w:rsidR="00252A21" w:rsidRDefault="00252A21" w:rsidP="00252A21">
      <w:pPr>
        <w:ind w:firstLineChars="200" w:firstLine="562"/>
        <w:rPr>
          <w:rFonts w:ascii="仿宋" w:eastAsia="仿宋" w:hAnsi="仿宋" w:cs="仿宋" w:hint="eastAsia"/>
          <w:color w:val="000000"/>
          <w:sz w:val="28"/>
          <w:szCs w:val="28"/>
        </w:rPr>
      </w:pPr>
      <w:r w:rsidRPr="00632E07">
        <w:rPr>
          <w:rFonts w:ascii="黑体" w:eastAsia="黑体" w:hAnsi="黑体" w:cs="黑体" w:hint="eastAsia"/>
          <w:b/>
          <w:bCs/>
          <w:color w:val="000000"/>
          <w:sz w:val="28"/>
          <w:szCs w:val="28"/>
        </w:rPr>
        <w:t>三、项目预算：</w:t>
      </w:r>
      <w:r w:rsidRPr="00632E07">
        <w:rPr>
          <w:rFonts w:ascii="仿宋" w:eastAsia="仿宋" w:hAnsi="仿宋" w:cs="仿宋" w:hint="eastAsia"/>
          <w:color w:val="000000"/>
          <w:sz w:val="28"/>
          <w:szCs w:val="28"/>
        </w:rPr>
        <w:t>40万元（20万/年*2年）。每年分3期付款。每年3月31日前付总价款的30%， 7月31日前付总价款的60%，年度代理记账工作完成后结合委托单位意见及财政局考核情况，合格后予以拨付10%的尾款。</w:t>
      </w: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Default="00252A21" w:rsidP="00252A21">
      <w:pPr>
        <w:ind w:firstLineChars="200" w:firstLine="560"/>
        <w:rPr>
          <w:rFonts w:ascii="仿宋" w:eastAsia="仿宋" w:hAnsi="仿宋" w:cs="仿宋" w:hint="eastAsia"/>
          <w:color w:val="000000"/>
          <w:sz w:val="28"/>
          <w:szCs w:val="28"/>
        </w:rPr>
      </w:pPr>
    </w:p>
    <w:p w:rsidR="00252A21" w:rsidRPr="00632E07" w:rsidRDefault="00252A21" w:rsidP="00252A21">
      <w:pPr>
        <w:ind w:firstLineChars="200" w:firstLine="562"/>
        <w:rPr>
          <w:rFonts w:ascii="黑体" w:eastAsia="黑体" w:hAnsi="黑体" w:cs="黑体" w:hint="eastAsia"/>
          <w:b/>
          <w:bCs/>
          <w:color w:val="000000"/>
          <w:sz w:val="28"/>
          <w:szCs w:val="28"/>
        </w:rPr>
      </w:pPr>
    </w:p>
    <w:p w:rsidR="00252A21" w:rsidRPr="0045164D" w:rsidRDefault="00252A21" w:rsidP="00252A21">
      <w:pPr>
        <w:ind w:firstLineChars="200" w:firstLine="643"/>
        <w:jc w:val="center"/>
        <w:rPr>
          <w:rFonts w:ascii="宋体" w:hAnsi="宋体" w:cs="宋体" w:hint="eastAsia"/>
          <w:b/>
          <w:sz w:val="32"/>
          <w:szCs w:val="32"/>
        </w:rPr>
      </w:pPr>
      <w:r w:rsidRPr="0045164D">
        <w:rPr>
          <w:rFonts w:ascii="宋体" w:hAnsi="宋体" w:cs="宋体" w:hint="eastAsia"/>
          <w:b/>
          <w:sz w:val="32"/>
          <w:szCs w:val="32"/>
        </w:rPr>
        <w:t>第三章  评分办法</w:t>
      </w: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1530"/>
        <w:gridCol w:w="6023"/>
      </w:tblGrid>
      <w:tr w:rsidR="00252A21" w:rsidRPr="00632E07" w:rsidTr="002D60FC">
        <w:tc>
          <w:tcPr>
            <w:tcW w:w="916" w:type="dxa"/>
            <w:vAlign w:val="center"/>
          </w:tcPr>
          <w:p w:rsidR="00252A21" w:rsidRPr="00632E07" w:rsidRDefault="00252A21" w:rsidP="002D60FC">
            <w:pPr>
              <w:spacing w:line="360" w:lineRule="auto"/>
              <w:jc w:val="center"/>
              <w:rPr>
                <w:rFonts w:ascii="仿宋_GB2312" w:eastAsia="仿宋_GB2312" w:hAnsi="仿宋_GB2312" w:cs="仿宋_GB2312"/>
                <w:color w:val="000000"/>
                <w:kern w:val="0"/>
                <w:sz w:val="28"/>
                <w:szCs w:val="28"/>
                <w:lang/>
              </w:rPr>
            </w:pPr>
            <w:r w:rsidRPr="00632E07">
              <w:rPr>
                <w:rFonts w:ascii="仿宋_GB2312" w:eastAsia="仿宋_GB2312" w:hAnsi="仿宋_GB2312" w:cs="仿宋_GB2312" w:hint="eastAsia"/>
                <w:color w:val="000000"/>
                <w:kern w:val="0"/>
                <w:sz w:val="28"/>
                <w:szCs w:val="28"/>
                <w:lang/>
              </w:rPr>
              <w:t>类别</w:t>
            </w:r>
          </w:p>
        </w:tc>
        <w:tc>
          <w:tcPr>
            <w:tcW w:w="1530" w:type="dxa"/>
            <w:vAlign w:val="center"/>
          </w:tcPr>
          <w:p w:rsidR="00252A21" w:rsidRPr="00632E07" w:rsidRDefault="00252A21" w:rsidP="002D60FC">
            <w:pPr>
              <w:spacing w:line="360" w:lineRule="auto"/>
              <w:jc w:val="center"/>
              <w:rPr>
                <w:rFonts w:ascii="仿宋_GB2312" w:eastAsia="仿宋_GB2312" w:hAnsi="仿宋_GB2312" w:cs="仿宋_GB2312"/>
                <w:color w:val="000000"/>
                <w:kern w:val="0"/>
                <w:sz w:val="28"/>
                <w:szCs w:val="28"/>
                <w:lang/>
              </w:rPr>
            </w:pPr>
            <w:r w:rsidRPr="00632E07">
              <w:rPr>
                <w:rFonts w:ascii="仿宋_GB2312" w:eastAsia="仿宋_GB2312" w:hAnsi="仿宋_GB2312" w:cs="仿宋_GB2312" w:hint="eastAsia"/>
                <w:color w:val="000000"/>
                <w:kern w:val="0"/>
                <w:sz w:val="28"/>
                <w:szCs w:val="28"/>
                <w:lang/>
              </w:rPr>
              <w:t>评分内容</w:t>
            </w:r>
          </w:p>
        </w:tc>
        <w:tc>
          <w:tcPr>
            <w:tcW w:w="6023" w:type="dxa"/>
          </w:tcPr>
          <w:p w:rsidR="00252A21" w:rsidRPr="00632E07" w:rsidRDefault="00252A21" w:rsidP="002D60FC">
            <w:pPr>
              <w:spacing w:line="360" w:lineRule="auto"/>
              <w:jc w:val="center"/>
              <w:rPr>
                <w:rFonts w:ascii="仿宋_GB2312" w:eastAsia="仿宋_GB2312" w:hAnsi="仿宋_GB2312" w:cs="仿宋_GB2312"/>
                <w:color w:val="000000"/>
                <w:kern w:val="0"/>
                <w:sz w:val="28"/>
                <w:szCs w:val="28"/>
                <w:lang/>
              </w:rPr>
            </w:pPr>
            <w:r w:rsidRPr="00632E07">
              <w:rPr>
                <w:rFonts w:ascii="仿宋_GB2312" w:eastAsia="仿宋_GB2312" w:hAnsi="仿宋_GB2312" w:cs="仿宋_GB2312" w:hint="eastAsia"/>
                <w:color w:val="000000"/>
                <w:kern w:val="0"/>
                <w:sz w:val="28"/>
                <w:szCs w:val="28"/>
                <w:lang/>
              </w:rPr>
              <w:t>细则</w:t>
            </w:r>
          </w:p>
        </w:tc>
      </w:tr>
      <w:tr w:rsidR="00252A21" w:rsidRPr="00632E07" w:rsidTr="002D60FC">
        <w:tc>
          <w:tcPr>
            <w:tcW w:w="916" w:type="dxa"/>
            <w:vMerge w:val="restart"/>
            <w:vAlign w:val="center"/>
          </w:tcPr>
          <w:p w:rsidR="00252A21" w:rsidRPr="00632E07" w:rsidRDefault="00252A21" w:rsidP="002D60FC">
            <w:p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商务技术（80分）</w:t>
            </w:r>
          </w:p>
          <w:p w:rsidR="00252A21" w:rsidRPr="00632E07" w:rsidRDefault="00252A21" w:rsidP="002D60FC">
            <w:pPr>
              <w:spacing w:line="360" w:lineRule="auto"/>
              <w:jc w:val="center"/>
              <w:rPr>
                <w:rFonts w:ascii="仿宋_GB2312" w:eastAsia="仿宋_GB2312" w:hAnsi="仿宋_GB2312" w:cs="仿宋_GB2312"/>
                <w:color w:val="000000"/>
                <w:kern w:val="0"/>
                <w:szCs w:val="21"/>
                <w:lang/>
              </w:rPr>
            </w:pPr>
          </w:p>
        </w:tc>
        <w:tc>
          <w:tcPr>
            <w:tcW w:w="1530" w:type="dxa"/>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项目实施方案（20分）</w:t>
            </w:r>
          </w:p>
        </w:tc>
        <w:tc>
          <w:tcPr>
            <w:tcW w:w="6023" w:type="dxa"/>
          </w:tcPr>
          <w:p w:rsidR="00252A21" w:rsidRPr="00632E07" w:rsidRDefault="00252A21" w:rsidP="002D60FC">
            <w:p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总体方案：根据投标人对本项目总体需求的响应程度，提出科学、合理、规范性和可操作性的详细方案。</w:t>
            </w:r>
          </w:p>
          <w:p w:rsidR="00252A21" w:rsidRPr="00632E07" w:rsidRDefault="00252A21" w:rsidP="00252A21">
            <w:pPr>
              <w:numPr>
                <w:ilvl w:val="0"/>
                <w:numId w:val="2"/>
              </w:num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按照国家相关会计制度填制记账凭证；</w:t>
            </w:r>
          </w:p>
          <w:p w:rsidR="00252A21" w:rsidRPr="00632E07" w:rsidRDefault="00252A21" w:rsidP="00252A21">
            <w:pPr>
              <w:numPr>
                <w:ilvl w:val="0"/>
                <w:numId w:val="2"/>
              </w:num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登记会计账簿；</w:t>
            </w:r>
          </w:p>
          <w:p w:rsidR="00252A21" w:rsidRPr="00632E07" w:rsidRDefault="00252A21" w:rsidP="00252A21">
            <w:pPr>
              <w:numPr>
                <w:ilvl w:val="0"/>
                <w:numId w:val="2"/>
              </w:num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账表核对、账</w:t>
            </w:r>
            <w:proofErr w:type="gramStart"/>
            <w:r w:rsidRPr="00632E07">
              <w:rPr>
                <w:rFonts w:ascii="仿宋_GB2312" w:eastAsia="仿宋_GB2312" w:hAnsi="仿宋_GB2312" w:cs="仿宋_GB2312" w:hint="eastAsia"/>
                <w:color w:val="000000"/>
                <w:kern w:val="0"/>
                <w:szCs w:val="21"/>
                <w:lang/>
              </w:rPr>
              <w:t>账</w:t>
            </w:r>
            <w:proofErr w:type="gramEnd"/>
            <w:r w:rsidRPr="00632E07">
              <w:rPr>
                <w:rFonts w:ascii="仿宋_GB2312" w:eastAsia="仿宋_GB2312" w:hAnsi="仿宋_GB2312" w:cs="仿宋_GB2312" w:hint="eastAsia"/>
                <w:color w:val="000000"/>
                <w:kern w:val="0"/>
                <w:szCs w:val="21"/>
                <w:lang/>
              </w:rPr>
              <w:t>核对，提供真实完整的会计报表；</w:t>
            </w:r>
          </w:p>
          <w:p w:rsidR="00252A21" w:rsidRPr="00632E07" w:rsidRDefault="00252A21" w:rsidP="00252A21">
            <w:pPr>
              <w:numPr>
                <w:ilvl w:val="0"/>
                <w:numId w:val="2"/>
              </w:num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color w:val="000000"/>
                <w:kern w:val="0"/>
                <w:szCs w:val="21"/>
                <w:lang/>
              </w:rPr>
              <w:t>会计</w:t>
            </w:r>
            <w:r w:rsidRPr="00632E07">
              <w:rPr>
                <w:rFonts w:ascii="仿宋_GB2312" w:eastAsia="仿宋_GB2312" w:hAnsi="仿宋_GB2312" w:cs="仿宋_GB2312" w:hint="eastAsia"/>
                <w:color w:val="000000"/>
                <w:kern w:val="0"/>
                <w:szCs w:val="21"/>
                <w:lang/>
              </w:rPr>
              <w:t>档案保管规范、归档及时；</w:t>
            </w:r>
          </w:p>
          <w:p w:rsidR="00252A21" w:rsidRPr="00632E07" w:rsidRDefault="00252A21" w:rsidP="00252A21">
            <w:pPr>
              <w:numPr>
                <w:ilvl w:val="0"/>
                <w:numId w:val="2"/>
              </w:numPr>
              <w:spacing w:line="360" w:lineRule="auto"/>
              <w:rPr>
                <w:rFonts w:ascii="仿宋_GB2312" w:eastAsia="仿宋_GB2312" w:hAnsi="仿宋_GB2312" w:cs="仿宋_GB2312" w:hint="eastAsia"/>
                <w:color w:val="000000"/>
                <w:kern w:val="0"/>
                <w:szCs w:val="21"/>
                <w:lang/>
              </w:rPr>
            </w:pPr>
            <w:r w:rsidRPr="00632E07">
              <w:rPr>
                <w:rFonts w:ascii="仿宋_GB2312" w:eastAsia="仿宋_GB2312" w:hAnsi="仿宋_GB2312" w:cs="仿宋_GB2312" w:hint="eastAsia"/>
                <w:color w:val="000000"/>
                <w:kern w:val="0"/>
                <w:szCs w:val="21"/>
                <w:lang/>
              </w:rPr>
              <w:t>严格保密财务数据；</w:t>
            </w:r>
          </w:p>
          <w:p w:rsidR="00252A21" w:rsidRPr="00632E07" w:rsidRDefault="00252A21" w:rsidP="002D60FC">
            <w:pPr>
              <w:spacing w:line="360" w:lineRule="auto"/>
              <w:rPr>
                <w:rFonts w:ascii="仿宋_GB2312" w:eastAsia="仿宋_GB2312" w:hAnsi="仿宋_GB2312" w:cs="仿宋_GB2312" w:hint="eastAsia"/>
                <w:color w:val="000000"/>
                <w:kern w:val="0"/>
                <w:szCs w:val="21"/>
                <w:lang/>
              </w:rPr>
            </w:pPr>
            <w:r w:rsidRPr="00632E07">
              <w:rPr>
                <w:rFonts w:ascii="仿宋_GB2312" w:eastAsia="仿宋_GB2312" w:hAnsi="仿宋_GB2312" w:cs="仿宋_GB2312" w:hint="eastAsia"/>
                <w:color w:val="000000"/>
                <w:kern w:val="0"/>
                <w:szCs w:val="21"/>
                <w:lang/>
              </w:rPr>
              <w:t>上述方案内容每提供1项得4分，满分20分，没有提供不得分。每符合1项内容给4分。</w:t>
            </w:r>
          </w:p>
        </w:tc>
      </w:tr>
      <w:tr w:rsidR="00252A21" w:rsidRPr="00632E07" w:rsidTr="002D60FC">
        <w:tc>
          <w:tcPr>
            <w:tcW w:w="916" w:type="dxa"/>
            <w:vMerge/>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p>
        </w:tc>
        <w:tc>
          <w:tcPr>
            <w:tcW w:w="1530" w:type="dxa"/>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投标人</w:t>
            </w:r>
          </w:p>
          <w:p w:rsidR="00252A21" w:rsidRPr="00632E07" w:rsidRDefault="00252A21" w:rsidP="002D60FC">
            <w:pPr>
              <w:spacing w:line="360" w:lineRule="auto"/>
              <w:jc w:val="center"/>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业绩（20分）</w:t>
            </w:r>
          </w:p>
        </w:tc>
        <w:tc>
          <w:tcPr>
            <w:tcW w:w="6023" w:type="dxa"/>
          </w:tcPr>
          <w:p w:rsidR="00252A21" w:rsidRPr="00632E07" w:rsidRDefault="00252A21" w:rsidP="002D60FC">
            <w:pPr>
              <w:spacing w:line="360" w:lineRule="auto"/>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val="zh-CN"/>
              </w:rPr>
              <w:t>投标单位近三年签订的代理记账合同（</w:t>
            </w:r>
            <w:r w:rsidRPr="00632E07">
              <w:rPr>
                <w:rFonts w:ascii="仿宋_GB2312" w:eastAsia="仿宋_GB2312" w:hAnsi="仿宋_GB2312" w:cs="仿宋_GB2312" w:hint="eastAsia"/>
                <w:color w:val="000000"/>
                <w:kern w:val="0"/>
                <w:szCs w:val="21"/>
                <w:lang/>
              </w:rPr>
              <w:t>2020</w:t>
            </w:r>
            <w:r w:rsidRPr="00632E07">
              <w:rPr>
                <w:rFonts w:ascii="仿宋_GB2312" w:eastAsia="仿宋_GB2312" w:hAnsi="仿宋_GB2312" w:cs="仿宋_GB2312" w:hint="eastAsia"/>
                <w:color w:val="000000"/>
                <w:kern w:val="0"/>
                <w:szCs w:val="21"/>
                <w:lang w:val="zh-CN"/>
              </w:rPr>
              <w:t>年</w:t>
            </w:r>
            <w:r w:rsidRPr="00632E07">
              <w:rPr>
                <w:rFonts w:ascii="仿宋_GB2312" w:eastAsia="仿宋_GB2312" w:hAnsi="仿宋_GB2312" w:cs="仿宋_GB2312" w:hint="eastAsia"/>
                <w:color w:val="000000"/>
                <w:kern w:val="0"/>
                <w:szCs w:val="21"/>
                <w:lang/>
              </w:rPr>
              <w:t>11</w:t>
            </w:r>
            <w:r w:rsidRPr="00632E07">
              <w:rPr>
                <w:rFonts w:ascii="仿宋_GB2312" w:eastAsia="仿宋_GB2312" w:hAnsi="仿宋_GB2312" w:cs="仿宋_GB2312" w:hint="eastAsia"/>
                <w:color w:val="000000"/>
                <w:kern w:val="0"/>
                <w:szCs w:val="21"/>
                <w:lang w:val="zh-CN"/>
              </w:rPr>
              <w:t>月 29日以来（以合同签订时间为准））。</w:t>
            </w:r>
            <w:r w:rsidRPr="00632E07">
              <w:rPr>
                <w:rFonts w:ascii="仿宋_GB2312" w:eastAsia="仿宋_GB2312" w:hAnsi="仿宋_GB2312" w:cs="仿宋_GB2312" w:hint="eastAsia"/>
                <w:color w:val="000000"/>
                <w:kern w:val="0"/>
                <w:szCs w:val="21"/>
                <w:lang/>
              </w:rPr>
              <w:t>每提供一个得5分，最高计20分。（投标时提供合同复印件加盖投标人公章，扫描上传）</w:t>
            </w:r>
          </w:p>
        </w:tc>
      </w:tr>
      <w:tr w:rsidR="00252A21" w:rsidRPr="00632E07" w:rsidTr="002D60FC">
        <w:trPr>
          <w:trHeight w:val="908"/>
        </w:trPr>
        <w:tc>
          <w:tcPr>
            <w:tcW w:w="916" w:type="dxa"/>
            <w:vMerge/>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p>
        </w:tc>
        <w:tc>
          <w:tcPr>
            <w:tcW w:w="1530" w:type="dxa"/>
            <w:vAlign w:val="center"/>
          </w:tcPr>
          <w:p w:rsidR="00252A21" w:rsidRPr="00632E07" w:rsidRDefault="00252A21" w:rsidP="002D60FC">
            <w:pPr>
              <w:spacing w:line="360" w:lineRule="auto"/>
              <w:jc w:val="center"/>
              <w:rPr>
                <w:rFonts w:ascii="仿宋_GB2312" w:eastAsia="仿宋_GB2312" w:hAnsi="仿宋_GB2312" w:cs="仿宋_GB2312" w:hint="eastAsia"/>
                <w:color w:val="000000"/>
                <w:kern w:val="0"/>
                <w:szCs w:val="21"/>
                <w:lang/>
              </w:rPr>
            </w:pPr>
            <w:r w:rsidRPr="00632E07">
              <w:rPr>
                <w:rFonts w:ascii="仿宋_GB2312" w:eastAsia="仿宋_GB2312" w:hAnsi="仿宋_GB2312" w:cs="仿宋_GB2312" w:hint="eastAsia"/>
                <w:color w:val="000000"/>
                <w:kern w:val="0"/>
                <w:szCs w:val="21"/>
                <w:lang/>
              </w:rPr>
              <w:t>服务人员配置（20分）</w:t>
            </w:r>
          </w:p>
        </w:tc>
        <w:tc>
          <w:tcPr>
            <w:tcW w:w="6023" w:type="dxa"/>
          </w:tcPr>
          <w:p w:rsidR="00252A21" w:rsidRPr="00632E07" w:rsidRDefault="00252A21" w:rsidP="002D60FC">
            <w:pPr>
              <w:spacing w:line="360" w:lineRule="auto"/>
              <w:jc w:val="left"/>
              <w:rPr>
                <w:rFonts w:ascii="仿宋_GB2312" w:eastAsia="仿宋_GB2312" w:hAnsi="仿宋_GB2312" w:cs="仿宋_GB2312" w:hint="eastAsia"/>
                <w:kern w:val="0"/>
                <w:szCs w:val="21"/>
                <w:lang/>
              </w:rPr>
            </w:pPr>
            <w:r w:rsidRPr="00632E07">
              <w:rPr>
                <w:rFonts w:ascii="仿宋_GB2312" w:eastAsia="仿宋_GB2312" w:hAnsi="仿宋_GB2312" w:cs="仿宋_GB2312" w:hint="eastAsia"/>
                <w:kern w:val="0"/>
                <w:szCs w:val="21"/>
                <w:lang/>
              </w:rPr>
              <w:t>本项目服务人员2人，提供每人拥有资格证书计算得分:拥有财会类中级及以上职称资格的得10分。本项最高得20分。 同</w:t>
            </w:r>
            <w:proofErr w:type="gramStart"/>
            <w:r w:rsidRPr="00632E07">
              <w:rPr>
                <w:rFonts w:ascii="仿宋_GB2312" w:eastAsia="仿宋_GB2312" w:hAnsi="仿宋_GB2312" w:cs="仿宋_GB2312" w:hint="eastAsia"/>
                <w:kern w:val="0"/>
                <w:szCs w:val="21"/>
                <w:lang/>
              </w:rPr>
              <w:t>一人员</w:t>
            </w:r>
            <w:proofErr w:type="gramEnd"/>
            <w:r w:rsidRPr="00632E07">
              <w:rPr>
                <w:rFonts w:ascii="仿宋_GB2312" w:eastAsia="仿宋_GB2312" w:hAnsi="仿宋_GB2312" w:cs="仿宋_GB2312" w:hint="eastAsia"/>
                <w:kern w:val="0"/>
                <w:szCs w:val="21"/>
                <w:lang/>
              </w:rPr>
              <w:t>具有上述多个证书的，仅计分一次，不累加计分。</w:t>
            </w:r>
          </w:p>
          <w:p w:rsidR="00252A21" w:rsidRPr="00632E07" w:rsidRDefault="00252A21" w:rsidP="002D60FC">
            <w:pPr>
              <w:spacing w:line="360" w:lineRule="auto"/>
              <w:jc w:val="left"/>
              <w:rPr>
                <w:rFonts w:ascii="仿宋_GB2312" w:eastAsia="仿宋_GB2312" w:hAnsi="仿宋_GB2312" w:cs="仿宋_GB2312" w:hint="eastAsia"/>
                <w:kern w:val="0"/>
                <w:szCs w:val="21"/>
                <w:lang/>
              </w:rPr>
            </w:pPr>
            <w:r w:rsidRPr="00632E07">
              <w:rPr>
                <w:rFonts w:ascii="仿宋_GB2312" w:eastAsia="仿宋_GB2312" w:hAnsi="仿宋_GB2312" w:cs="仿宋_GB2312" w:hint="eastAsia"/>
                <w:kern w:val="0"/>
                <w:szCs w:val="21"/>
                <w:lang/>
              </w:rPr>
              <w:t>（提供证书复印件及身份证复印件加盖单位公章，扫描上传)</w:t>
            </w:r>
          </w:p>
        </w:tc>
      </w:tr>
      <w:tr w:rsidR="00252A21" w:rsidRPr="00632E07" w:rsidTr="002D60FC">
        <w:trPr>
          <w:trHeight w:val="1623"/>
        </w:trPr>
        <w:tc>
          <w:tcPr>
            <w:tcW w:w="916" w:type="dxa"/>
            <w:vMerge/>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p>
        </w:tc>
        <w:tc>
          <w:tcPr>
            <w:tcW w:w="1530" w:type="dxa"/>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服务人员继续教育（10分）</w:t>
            </w:r>
          </w:p>
        </w:tc>
        <w:tc>
          <w:tcPr>
            <w:tcW w:w="6023" w:type="dxa"/>
          </w:tcPr>
          <w:p w:rsidR="00252A21" w:rsidRPr="00632E07" w:rsidRDefault="00252A21" w:rsidP="002D60FC">
            <w:pPr>
              <w:spacing w:line="360" w:lineRule="auto"/>
              <w:jc w:val="left"/>
              <w:rPr>
                <w:rFonts w:ascii="仿宋_GB2312" w:eastAsia="仿宋_GB2312" w:hAnsi="仿宋_GB2312" w:cs="仿宋_GB2312"/>
                <w:kern w:val="0"/>
                <w:szCs w:val="21"/>
                <w:lang/>
              </w:rPr>
            </w:pPr>
            <w:r w:rsidRPr="00632E07">
              <w:rPr>
                <w:rFonts w:ascii="仿宋_GB2312" w:eastAsia="仿宋_GB2312" w:hAnsi="仿宋_GB2312" w:cs="仿宋_GB2312" w:hint="eastAsia"/>
                <w:kern w:val="0"/>
                <w:szCs w:val="21"/>
                <w:lang/>
              </w:rPr>
              <w:t>投入本项目的代理记账人员最近5年连续参加会计继续教育的，得10分，每人每参加1个年度继续教育的，给1分。</w:t>
            </w:r>
          </w:p>
          <w:p w:rsidR="00252A21" w:rsidRPr="00632E07" w:rsidRDefault="00252A21" w:rsidP="002D60FC">
            <w:pPr>
              <w:spacing w:line="360" w:lineRule="auto"/>
              <w:jc w:val="left"/>
              <w:rPr>
                <w:rFonts w:ascii="仿宋_GB2312" w:eastAsia="仿宋_GB2312" w:hAnsi="仿宋_GB2312" w:cs="仿宋_GB2312" w:hint="eastAsia"/>
                <w:kern w:val="0"/>
                <w:szCs w:val="21"/>
                <w:lang/>
              </w:rPr>
            </w:pPr>
            <w:r w:rsidRPr="00632E07">
              <w:rPr>
                <w:rFonts w:ascii="仿宋_GB2312" w:eastAsia="仿宋_GB2312" w:hAnsi="仿宋_GB2312" w:cs="仿宋_GB2312" w:hint="eastAsia"/>
                <w:kern w:val="0"/>
                <w:szCs w:val="21"/>
                <w:lang/>
              </w:rPr>
              <w:t>（投标时提供继续教育合格证明加盖投标人公章，扫描上传）</w:t>
            </w:r>
          </w:p>
        </w:tc>
      </w:tr>
      <w:tr w:rsidR="00252A21" w:rsidRPr="00632E07" w:rsidTr="002D60FC">
        <w:trPr>
          <w:trHeight w:val="1378"/>
        </w:trPr>
        <w:tc>
          <w:tcPr>
            <w:tcW w:w="916" w:type="dxa"/>
            <w:vMerge/>
            <w:vAlign w:val="center"/>
          </w:tcPr>
          <w:p w:rsidR="00252A21" w:rsidRPr="00632E07" w:rsidRDefault="00252A21" w:rsidP="002D60FC">
            <w:pPr>
              <w:spacing w:line="360" w:lineRule="auto"/>
              <w:jc w:val="center"/>
              <w:rPr>
                <w:rFonts w:ascii="仿宋_GB2312" w:eastAsia="仿宋_GB2312" w:hAnsi="仿宋_GB2312" w:cs="仿宋_GB2312"/>
                <w:color w:val="000000"/>
                <w:kern w:val="0"/>
                <w:szCs w:val="21"/>
                <w:lang/>
              </w:rPr>
            </w:pPr>
          </w:p>
        </w:tc>
        <w:tc>
          <w:tcPr>
            <w:tcW w:w="1530" w:type="dxa"/>
            <w:vAlign w:val="center"/>
          </w:tcPr>
          <w:p w:rsidR="00252A21" w:rsidRPr="00632E07" w:rsidRDefault="00252A21" w:rsidP="002D60FC">
            <w:pPr>
              <w:spacing w:line="360" w:lineRule="auto"/>
              <w:jc w:val="center"/>
              <w:rPr>
                <w:rFonts w:ascii="仿宋_GB2312" w:eastAsia="仿宋_GB2312" w:hAnsi="仿宋_GB2312" w:cs="仿宋_GB2312" w:hint="eastAsia"/>
                <w:color w:val="000000"/>
                <w:kern w:val="0"/>
                <w:szCs w:val="21"/>
                <w:lang/>
              </w:rPr>
            </w:pPr>
            <w:r w:rsidRPr="00632E07">
              <w:rPr>
                <w:rFonts w:ascii="仿宋_GB2312" w:eastAsia="仿宋_GB2312" w:hAnsi="仿宋_GB2312" w:cs="仿宋_GB2312" w:hint="eastAsia"/>
                <w:color w:val="000000"/>
                <w:kern w:val="0"/>
                <w:szCs w:val="21"/>
                <w:lang/>
              </w:rPr>
              <w:t>售后支持</w:t>
            </w:r>
          </w:p>
          <w:p w:rsidR="00252A21" w:rsidRPr="00632E07" w:rsidRDefault="00252A21" w:rsidP="002D60FC">
            <w:pPr>
              <w:spacing w:line="360" w:lineRule="auto"/>
              <w:jc w:val="center"/>
              <w:rPr>
                <w:rFonts w:ascii="仿宋_GB2312" w:eastAsia="仿宋_GB2312" w:hAnsi="仿宋_GB2312" w:cs="仿宋_GB2312" w:hint="eastAsia"/>
                <w:color w:val="000000"/>
                <w:kern w:val="0"/>
                <w:szCs w:val="21"/>
                <w:lang/>
              </w:rPr>
            </w:pPr>
            <w:r w:rsidRPr="00632E07">
              <w:rPr>
                <w:rFonts w:ascii="仿宋_GB2312" w:eastAsia="仿宋_GB2312" w:hAnsi="仿宋_GB2312" w:cs="仿宋_GB2312" w:hint="eastAsia"/>
                <w:color w:val="000000"/>
                <w:kern w:val="0"/>
                <w:szCs w:val="21"/>
                <w:lang/>
              </w:rPr>
              <w:t>（10分）</w:t>
            </w:r>
          </w:p>
        </w:tc>
        <w:tc>
          <w:tcPr>
            <w:tcW w:w="6023" w:type="dxa"/>
          </w:tcPr>
          <w:p w:rsidR="00252A21" w:rsidRPr="00632E07" w:rsidRDefault="00252A21" w:rsidP="002D60FC">
            <w:pPr>
              <w:spacing w:line="360" w:lineRule="auto"/>
              <w:ind w:right="119"/>
              <w:rPr>
                <w:rFonts w:ascii="仿宋_GB2312" w:eastAsia="仿宋_GB2312" w:hAnsi="仿宋_GB2312" w:cs="仿宋_GB2312" w:hint="eastAsia"/>
                <w:kern w:val="0"/>
                <w:szCs w:val="21"/>
                <w:lang/>
              </w:rPr>
            </w:pPr>
            <w:r w:rsidRPr="00632E07">
              <w:rPr>
                <w:rFonts w:ascii="仿宋_GB2312" w:eastAsia="仿宋_GB2312" w:hAnsi="仿宋_GB2312" w:cs="仿宋_GB2312" w:hint="eastAsia"/>
                <w:kern w:val="0"/>
                <w:szCs w:val="21"/>
                <w:lang/>
              </w:rPr>
              <w:t>售后服务承诺：当派驻代理记账人员无法完成按照委托方要求完成代理记账服务时，投标人应在3个自然日内另行指派符合要求的人员继续提供服务。</w:t>
            </w:r>
          </w:p>
          <w:p w:rsidR="00252A21" w:rsidRPr="00632E07" w:rsidRDefault="00252A21" w:rsidP="002D60FC">
            <w:pPr>
              <w:spacing w:line="360" w:lineRule="auto"/>
              <w:ind w:right="119"/>
              <w:rPr>
                <w:rFonts w:ascii="仿宋_GB2312" w:eastAsia="仿宋_GB2312" w:hAnsi="仿宋_GB2312" w:cs="仿宋_GB2312" w:hint="eastAsia"/>
                <w:kern w:val="0"/>
                <w:szCs w:val="21"/>
                <w:lang/>
              </w:rPr>
            </w:pPr>
            <w:r w:rsidRPr="00632E07">
              <w:rPr>
                <w:rFonts w:ascii="仿宋_GB2312" w:eastAsia="仿宋_GB2312" w:hAnsi="仿宋_GB2312" w:cs="仿宋_GB2312" w:hint="eastAsia"/>
                <w:kern w:val="0"/>
                <w:szCs w:val="21"/>
                <w:lang/>
              </w:rPr>
              <w:t>（投标时提供售后服务承诺书加盖投标人公章，扫描上传）</w:t>
            </w:r>
          </w:p>
        </w:tc>
      </w:tr>
      <w:tr w:rsidR="00252A21" w:rsidRPr="00632E07" w:rsidTr="002D60FC">
        <w:tc>
          <w:tcPr>
            <w:tcW w:w="2446" w:type="dxa"/>
            <w:gridSpan w:val="2"/>
            <w:vAlign w:val="center"/>
          </w:tcPr>
          <w:p w:rsidR="00252A21" w:rsidRPr="00632E07" w:rsidRDefault="00252A21" w:rsidP="002D60FC">
            <w:pPr>
              <w:spacing w:line="360" w:lineRule="auto"/>
              <w:ind w:right="119"/>
              <w:jc w:val="center"/>
              <w:rPr>
                <w:rFonts w:ascii="仿宋_GB2312" w:eastAsia="仿宋_GB2312" w:hAnsi="仿宋_GB2312" w:cs="仿宋_GB2312"/>
                <w:color w:val="000000"/>
                <w:kern w:val="0"/>
                <w:szCs w:val="21"/>
                <w:lang/>
              </w:rPr>
            </w:pPr>
          </w:p>
          <w:p w:rsidR="00252A21" w:rsidRPr="00632E07" w:rsidRDefault="00252A21" w:rsidP="002D60FC">
            <w:pPr>
              <w:spacing w:line="360" w:lineRule="auto"/>
              <w:ind w:right="119"/>
              <w:jc w:val="center"/>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价格分</w:t>
            </w:r>
          </w:p>
          <w:p w:rsidR="00252A21" w:rsidRPr="00632E07" w:rsidRDefault="00252A21" w:rsidP="002D60FC">
            <w:pPr>
              <w:spacing w:line="360" w:lineRule="auto"/>
              <w:ind w:right="119"/>
              <w:jc w:val="center"/>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（20分）</w:t>
            </w:r>
          </w:p>
          <w:p w:rsidR="00252A21" w:rsidRPr="00632E07" w:rsidRDefault="00252A21" w:rsidP="002D60FC">
            <w:pPr>
              <w:spacing w:line="360" w:lineRule="auto"/>
              <w:ind w:right="119"/>
              <w:rPr>
                <w:rFonts w:ascii="仿宋_GB2312" w:eastAsia="仿宋_GB2312" w:hAnsi="仿宋_GB2312" w:cs="仿宋_GB2312"/>
                <w:color w:val="000000"/>
                <w:kern w:val="0"/>
                <w:szCs w:val="21"/>
                <w:lang/>
              </w:rPr>
            </w:pPr>
          </w:p>
          <w:p w:rsidR="00252A21" w:rsidRPr="00632E07" w:rsidRDefault="00252A21" w:rsidP="002D60FC">
            <w:pPr>
              <w:spacing w:line="360" w:lineRule="auto"/>
              <w:ind w:right="119"/>
              <w:jc w:val="center"/>
              <w:rPr>
                <w:rFonts w:ascii="仿宋_GB2312" w:eastAsia="仿宋_GB2312" w:hAnsi="仿宋_GB2312" w:cs="仿宋_GB2312"/>
                <w:color w:val="000000"/>
                <w:kern w:val="0"/>
                <w:szCs w:val="21"/>
                <w:lang/>
              </w:rPr>
            </w:pPr>
          </w:p>
        </w:tc>
        <w:tc>
          <w:tcPr>
            <w:tcW w:w="6023" w:type="dxa"/>
            <w:vAlign w:val="center"/>
          </w:tcPr>
          <w:p w:rsidR="00252A21" w:rsidRPr="00632E07" w:rsidRDefault="00252A21" w:rsidP="002D60FC">
            <w:pPr>
              <w:spacing w:line="360" w:lineRule="auto"/>
              <w:ind w:right="119"/>
              <w:rPr>
                <w:rFonts w:ascii="仿宋_GB2312" w:eastAsia="仿宋_GB2312" w:hAnsi="仿宋_GB2312" w:cs="仿宋_GB2312"/>
                <w:color w:val="000000"/>
                <w:kern w:val="0"/>
                <w:szCs w:val="21"/>
                <w:lang/>
              </w:rPr>
            </w:pPr>
            <w:proofErr w:type="gramStart"/>
            <w:r w:rsidRPr="00632E07">
              <w:rPr>
                <w:rFonts w:ascii="仿宋_GB2312" w:eastAsia="仿宋_GB2312" w:hAnsi="仿宋_GB2312" w:cs="仿宋_GB2312" w:hint="eastAsia"/>
                <w:color w:val="000000"/>
                <w:kern w:val="0"/>
                <w:szCs w:val="21"/>
                <w:lang/>
              </w:rPr>
              <w:t>价格标经评审</w:t>
            </w:r>
            <w:proofErr w:type="gramEnd"/>
            <w:r w:rsidRPr="00632E07">
              <w:rPr>
                <w:rFonts w:ascii="仿宋_GB2312" w:eastAsia="仿宋_GB2312" w:hAnsi="仿宋_GB2312" w:cs="仿宋_GB2312" w:hint="eastAsia"/>
                <w:color w:val="000000"/>
                <w:kern w:val="0"/>
                <w:szCs w:val="21"/>
                <w:lang/>
              </w:rPr>
              <w:t>满足本文件要求的投标人的总报价中，最低价格为评标基准价格，得满分；其他投标人的价格</w:t>
            </w:r>
            <w:proofErr w:type="gramStart"/>
            <w:r w:rsidRPr="00632E07">
              <w:rPr>
                <w:rFonts w:ascii="仿宋_GB2312" w:eastAsia="仿宋_GB2312" w:hAnsi="仿宋_GB2312" w:cs="仿宋_GB2312" w:hint="eastAsia"/>
                <w:color w:val="000000"/>
                <w:kern w:val="0"/>
                <w:szCs w:val="21"/>
                <w:lang/>
              </w:rPr>
              <w:t>分统一</w:t>
            </w:r>
            <w:proofErr w:type="gramEnd"/>
            <w:r w:rsidRPr="00632E07">
              <w:rPr>
                <w:rFonts w:ascii="仿宋_GB2312" w:eastAsia="仿宋_GB2312" w:hAnsi="仿宋_GB2312" w:cs="仿宋_GB2312" w:hint="eastAsia"/>
                <w:color w:val="000000"/>
                <w:kern w:val="0"/>
                <w:szCs w:val="21"/>
                <w:lang/>
              </w:rPr>
              <w:t xml:space="preserve">按照下列公式计算： </w:t>
            </w:r>
          </w:p>
          <w:p w:rsidR="00252A21" w:rsidRPr="00632E07" w:rsidRDefault="00252A21" w:rsidP="002D60FC">
            <w:pPr>
              <w:spacing w:line="360" w:lineRule="auto"/>
              <w:ind w:right="119"/>
              <w:rPr>
                <w:rFonts w:ascii="仿宋_GB2312" w:eastAsia="仿宋_GB2312" w:hAnsi="仿宋_GB2312" w:cs="仿宋_GB2312"/>
                <w:color w:val="000000"/>
                <w:kern w:val="0"/>
                <w:szCs w:val="21"/>
                <w:lang/>
              </w:rPr>
            </w:pPr>
            <w:r w:rsidRPr="00632E07">
              <w:rPr>
                <w:rFonts w:ascii="仿宋_GB2312" w:eastAsia="仿宋_GB2312" w:hAnsi="仿宋_GB2312" w:cs="仿宋_GB2312" w:hint="eastAsia"/>
                <w:color w:val="000000"/>
                <w:kern w:val="0"/>
                <w:szCs w:val="21"/>
                <w:lang/>
              </w:rPr>
              <w:t xml:space="preserve">投标报价得分＝（评标基准价/投标报价）× </w:t>
            </w:r>
            <w:proofErr w:type="gramStart"/>
            <w:r w:rsidRPr="00632E07">
              <w:rPr>
                <w:rFonts w:ascii="仿宋_GB2312" w:eastAsia="仿宋_GB2312" w:hAnsi="仿宋_GB2312" w:cs="仿宋_GB2312" w:hint="eastAsia"/>
                <w:color w:val="000000"/>
                <w:kern w:val="0"/>
                <w:szCs w:val="21"/>
                <w:lang/>
              </w:rPr>
              <w:t>价格权</w:t>
            </w:r>
            <w:proofErr w:type="gramEnd"/>
            <w:r w:rsidRPr="00632E07">
              <w:rPr>
                <w:rFonts w:ascii="仿宋_GB2312" w:eastAsia="仿宋_GB2312" w:hAnsi="仿宋_GB2312" w:cs="仿宋_GB2312" w:hint="eastAsia"/>
                <w:color w:val="000000"/>
                <w:kern w:val="0"/>
                <w:szCs w:val="21"/>
                <w:lang/>
              </w:rPr>
              <w:t>值（小数点后保留两位，第三位四舍五入）。</w:t>
            </w:r>
          </w:p>
        </w:tc>
      </w:tr>
    </w:tbl>
    <w:p w:rsidR="00252A21" w:rsidRPr="00632E07" w:rsidRDefault="00252A21" w:rsidP="00252A21">
      <w:pPr>
        <w:spacing w:line="360" w:lineRule="auto"/>
        <w:rPr>
          <w:rFonts w:ascii="宋体" w:hAnsi="宋体" w:cs="宋体"/>
          <w:b/>
          <w:color w:val="000000"/>
          <w:szCs w:val="21"/>
        </w:rPr>
      </w:pPr>
    </w:p>
    <w:p w:rsidR="00252A21" w:rsidRPr="00632E07" w:rsidRDefault="00252A21" w:rsidP="00252A21">
      <w:pPr>
        <w:rPr>
          <w:rFonts w:hint="eastAsia"/>
          <w:sz w:val="32"/>
          <w:szCs w:val="32"/>
        </w:rPr>
      </w:pPr>
    </w:p>
    <w:p w:rsidR="00524484" w:rsidRPr="00252A21" w:rsidRDefault="00524484"/>
    <w:sectPr w:rsidR="00524484" w:rsidRPr="00252A21" w:rsidSect="005244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41184"/>
    <w:multiLevelType w:val="multilevel"/>
    <w:tmpl w:val="5B34118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5D9B4AA3"/>
    <w:multiLevelType w:val="multilevel"/>
    <w:tmpl w:val="5D9B4AA3"/>
    <w:lvl w:ilvl="0">
      <w:start w:val="1"/>
      <w:numFmt w:val="japaneseCounting"/>
      <w:lvlText w:val="第%1章"/>
      <w:lvlJc w:val="left"/>
      <w:pPr>
        <w:tabs>
          <w:tab w:val="num" w:pos="1260"/>
        </w:tabs>
        <w:ind w:left="1260" w:hanging="1260"/>
      </w:pPr>
      <w:rPr>
        <w:rFonts w:ascii="Times New Roman" w:hAnsi="Times New Roman"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A21"/>
    <w:rsid w:val="00073DAD"/>
    <w:rsid w:val="00252A21"/>
    <w:rsid w:val="00421DEF"/>
    <w:rsid w:val="004468DA"/>
    <w:rsid w:val="00451B5B"/>
    <w:rsid w:val="004F0C65"/>
    <w:rsid w:val="00524484"/>
    <w:rsid w:val="00700D23"/>
    <w:rsid w:val="00801CDC"/>
    <w:rsid w:val="008848E2"/>
    <w:rsid w:val="008C5B37"/>
    <w:rsid w:val="009A5EA4"/>
    <w:rsid w:val="00B70EE1"/>
    <w:rsid w:val="00B947B5"/>
    <w:rsid w:val="00D1380E"/>
    <w:rsid w:val="00DB4B52"/>
    <w:rsid w:val="00ED5473"/>
    <w:rsid w:val="00F22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21"/>
    <w:pPr>
      <w:widowControl w:val="0"/>
      <w:jc w:val="both"/>
    </w:pPr>
    <w:rPr>
      <w:rFonts w:ascii="Times New Roman" w:eastAsia="宋体" w:hAnsi="Times New Roman" w:cs="Times New Roman"/>
      <w:szCs w:val="24"/>
    </w:rPr>
  </w:style>
  <w:style w:type="paragraph" w:styleId="1">
    <w:name w:val="heading 1"/>
    <w:basedOn w:val="a"/>
    <w:next w:val="a"/>
    <w:link w:val="1Char"/>
    <w:qFormat/>
    <w:rsid w:val="00252A21"/>
    <w:pPr>
      <w:keepNext/>
      <w:spacing w:line="500" w:lineRule="exact"/>
      <w:ind w:left="420" w:hanging="420"/>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2A21"/>
    <w:rPr>
      <w:rFonts w:ascii="Times New Roman" w:eastAsia="宋体" w:hAnsi="Times New Roman" w:cs="Times New Roman"/>
      <w:b/>
      <w:sz w:val="3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2025-02-26T02:46:00Z</dcterms:created>
  <dcterms:modified xsi:type="dcterms:W3CDTF">2025-02-26T02:47:00Z</dcterms:modified>
</cp:coreProperties>
</file>