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简体" w:hAnsi="微软雅黑" w:eastAsia="方正小标宋简体" w:cs="微软雅黑"/>
          <w:color w:val="auto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简体" w:hAnsi="微软雅黑" w:eastAsia="方正小标宋简体" w:cs="微软雅黑"/>
          <w:color w:val="auto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黄管办秘〔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73号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微软雅黑" w:eastAsia="方正小标宋简体" w:cs="微软雅黑"/>
          <w:color w:val="auto"/>
          <w:sz w:val="44"/>
          <w:szCs w:val="44"/>
          <w:shd w:val="clear" w:color="auto" w:fill="FFFFFF"/>
        </w:rPr>
        <w:t>关于</w:t>
      </w:r>
      <w:r>
        <w:rPr>
          <w:rFonts w:hint="eastAsia" w:ascii="方正小标宋简体" w:hAnsi="微软雅黑" w:eastAsia="方正小标宋简体" w:cs="微软雅黑"/>
          <w:color w:val="auto"/>
          <w:sz w:val="44"/>
          <w:szCs w:val="44"/>
          <w:shd w:val="clear" w:color="auto" w:fill="FFFFFF"/>
          <w:lang w:eastAsia="zh-CN"/>
        </w:rPr>
        <w:t>印发</w:t>
      </w:r>
      <w:r>
        <w:rPr>
          <w:rFonts w:hint="eastAsia" w:ascii="方正小标宋简体" w:hAnsi="微软雅黑" w:eastAsia="方正小标宋简体" w:cs="微软雅黑"/>
          <w:color w:val="auto"/>
          <w:sz w:val="44"/>
          <w:szCs w:val="44"/>
          <w:shd w:val="clear" w:color="auto" w:fill="FFFFFF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黄山风景区管委会公务车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车载北斗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卫星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定位系统、加油卡、ETC卡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微软雅黑" w:eastAsia="方正小标宋简体" w:cs="微软雅黑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标识化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管理办法</w:t>
      </w:r>
      <w:r>
        <w:rPr>
          <w:rFonts w:hint="eastAsia" w:ascii="方正小标宋简体" w:hAnsi="微软雅黑" w:eastAsia="方正小标宋简体" w:cs="微软雅黑"/>
          <w:color w:val="auto"/>
          <w:sz w:val="44"/>
          <w:szCs w:val="44"/>
          <w:shd w:val="clear" w:color="auto" w:fill="FFFFFF"/>
        </w:rPr>
        <w:t>》的</w:t>
      </w:r>
      <w:r>
        <w:rPr>
          <w:rFonts w:hint="eastAsia" w:ascii="方正小标宋简体" w:hAnsi="微软雅黑" w:eastAsia="方正小标宋简体" w:cs="微软雅黑"/>
          <w:color w:val="auto"/>
          <w:sz w:val="44"/>
          <w:szCs w:val="44"/>
          <w:shd w:val="clear" w:color="auto" w:fill="FFFFFF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管委会各单位：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经管委会同意，现将《黄山风景区管委会公务车辆车载北斗卫星定位系统、加油卡、ETC卡、标识化管理办法》印发给你们，请认真遵照执行。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1226" w:rightChars="584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2021年9月27日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1226" w:rightChars="584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黄山风景区管委会公务车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车载北斗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卫星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定位系统、加油卡、ETC卡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、标识化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8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after="157" w:afterLines="50" w:line="58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第一章 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为进一步规范黄山风景区管委会公务车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车载北斗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卫星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定位系统、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加油卡、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ETC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卡、公务车辆标识物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规范和高效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保障公务活动，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促进党风廉政建设和节约型机关建设，根据《黄山市党政机关公务用车管理实施办法》《黄山风景区管委会公务用车配备使用管理办法》等有关规定，结合管委会实际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after="157" w:afterLines="5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本办法适用于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管委会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内设部门和下属机构所有公务车辆（含公安局、市场监管局）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after="157" w:afterLines="50" w:line="58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章  车载北斗卫星定位系统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市机关事务管理中心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集中采购的中标公司，统一安装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公务车辆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车载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北斗卫星定位系统。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各单位负责本单位车辆北斗卫星定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位系统管理和监控。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各单位应指定车辆管理员，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负责实时监控本单位车辆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状态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，实时记录车辆出行情况，准确、完整录入车辆的基础资料等相关信息。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人员必须按操作规程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北斗卫星定位系统，确保设备正常运行，不得擅自拆装、断线、屏蔽和修改程序。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各单位车辆管理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员应在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出车前对定位系统终端进行检查，确保无误后出车，如在使用过程中发现定位系统不能正常使用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，应及时进行维修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并通知管委会监管部门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任何人不得通过定位系统发送与工作无关的信息。</w:t>
      </w:r>
    </w:p>
    <w:p>
      <w:pPr>
        <w:keepNext w:val="0"/>
        <w:keepLines w:val="0"/>
        <w:pageBreakBefore w:val="0"/>
        <w:widowControl w:val="0"/>
        <w:tabs>
          <w:tab w:val="left" w:pos="683"/>
        </w:tabs>
        <w:kinsoku/>
        <w:wordWrap/>
        <w:overflowPunct/>
        <w:topLinePunct w:val="0"/>
        <w:autoSpaceDN/>
        <w:bidi w:val="0"/>
        <w:adjustRightInd/>
        <w:snapToGrid w:val="0"/>
        <w:spacing w:after="157" w:afterLines="5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第九条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各单位公务车辆进行拍卖或报废的，车载北斗卫星定位系统不得随车拍卖或报废，车辆管理员应将车载北斗卫星定位系统进行卸载处置。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after="157" w:afterLines="50" w:line="58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 xml:space="preserve">章 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公务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加油卡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各单位所有公务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车辆按照“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一车一卡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”原则配置加油卡，严禁公卡私用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各单位公务加油卡，由各单位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员建立加油总帐及明细账备查。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after="157" w:afterLines="5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第十二条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各单位公务车辆进行拍卖、报废的，应将随车加油卡按管委会有关规定做好处置工作。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after="157" w:afterLines="50" w:line="58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章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公务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ETC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卡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各单位所有公务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一车一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卡”原则配置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ETC卡，车卡保持一致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十四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车辆ETC卡仅供指定车辆使用，不得采用技术手段把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ETC卡上费用挪用于其他车辆，一旦发现将严肃处理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after="157" w:afterLines="5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十五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各单位进行公务车辆拍卖、报废的，应将随车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ETC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卡按管委会有关规定做好处置工作。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after="157" w:afterLines="50" w:line="58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 xml:space="preserve">章 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公务车辆标识化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第十六条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各单位公务用车应进行标识化管理，除涉及国家安全、侦查办案、有保密要求的特殊工作用车或经管委会审批的特殊用车外，公务用车应当统一标识。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after="157" w:afterLines="5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第十七条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使用单位应保持公务用车标识干净、清晰、完整，发现标识破损、褪色、掉漆等不符合要求的情况或缺失时，应及时修整或更换。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after="157" w:afterLines="50" w:line="58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第六章  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第十八条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各单位要加强对公务用车的日常管理，如发现违反上述条款的将按照管委会有关规定进行处理，涉嫌违纪违法问题的将移送纪检监察机关查处。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第十九条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本办法由管委办负责解释，具体由管委办行管科承担。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第二十条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本法办印发之日起实施。各单位原管理规定凡与本办法不一致的，按照本办法执行。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1226" w:rightChars="584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footerReference r:id="rId3" w:type="default"/>
      <w:pgSz w:w="11850" w:h="16783"/>
      <w:pgMar w:top="1587" w:right="1531" w:bottom="158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45C4E"/>
    <w:rsid w:val="1E6273A1"/>
    <w:rsid w:val="1ED14CA6"/>
    <w:rsid w:val="2A232E12"/>
    <w:rsid w:val="2FB20D90"/>
    <w:rsid w:val="306A1E03"/>
    <w:rsid w:val="41D87A82"/>
    <w:rsid w:val="561D3DE7"/>
    <w:rsid w:val="5F493433"/>
    <w:rsid w:val="6594184A"/>
    <w:rsid w:val="6DDE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1259</Words>
  <Characters>1281</Characters>
  <Lines>0</Lines>
  <Paragraphs>0</Paragraphs>
  <TotalTime>3</TotalTime>
  <ScaleCrop>false</ScaleCrop>
  <LinksUpToDate>false</LinksUpToDate>
  <CharactersWithSpaces>1333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WB-XGK</dc:creator>
  <cp:lastModifiedBy>风景区管委办收文员</cp:lastModifiedBy>
  <dcterms:modified xsi:type="dcterms:W3CDTF">2021-09-28T01:08:53Z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E8BEC606B38547D0A1B1FF596BDEAA7F</vt:lpwstr>
  </property>
</Properties>
</file>