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FAA7A">
      <w:pPr>
        <w:jc w:val="center"/>
        <w:rPr>
          <w:rFonts w:hint="eastAsia" w:ascii="宋体" w:hAnsi="宋体"/>
          <w:b/>
          <w:color w:val="auto"/>
          <w:sz w:val="36"/>
          <w:szCs w:val="36"/>
        </w:rPr>
      </w:pPr>
      <w:r>
        <w:rPr>
          <w:rFonts w:hint="eastAsia" w:ascii="宋体" w:hAnsi="宋体"/>
          <w:b/>
          <w:color w:val="auto"/>
          <w:sz w:val="36"/>
          <w:szCs w:val="36"/>
          <w:lang w:eastAsia="zh-CN"/>
        </w:rPr>
        <w:t>黄山风景区管委会经济发展局（财政局）202</w:t>
      </w:r>
      <w:r>
        <w:rPr>
          <w:rFonts w:hint="eastAsia" w:ascii="宋体" w:hAnsi="宋体"/>
          <w:b/>
          <w:color w:val="auto"/>
          <w:sz w:val="36"/>
          <w:szCs w:val="36"/>
          <w:lang w:val="en-US" w:eastAsia="zh-CN"/>
        </w:rPr>
        <w:t>3</w:t>
      </w:r>
      <w:r>
        <w:rPr>
          <w:rFonts w:ascii="宋体" w:hAnsi="宋体"/>
          <w:b/>
          <w:color w:val="auto"/>
          <w:sz w:val="36"/>
          <w:szCs w:val="36"/>
        </w:rPr>
        <w:t>年</w:t>
      </w:r>
      <w:r>
        <w:rPr>
          <w:rFonts w:hint="eastAsia" w:ascii="宋体" w:hAnsi="宋体"/>
          <w:b/>
          <w:color w:val="auto"/>
          <w:sz w:val="36"/>
          <w:szCs w:val="36"/>
        </w:rPr>
        <w:t>度</w:t>
      </w:r>
    </w:p>
    <w:p w14:paraId="4D643230">
      <w:pPr>
        <w:jc w:val="center"/>
        <w:rPr>
          <w:rFonts w:hint="eastAsia" w:ascii="宋体" w:hAnsi="宋体"/>
          <w:b/>
          <w:color w:val="auto"/>
          <w:sz w:val="36"/>
          <w:szCs w:val="36"/>
        </w:rPr>
      </w:pPr>
      <w:r>
        <w:rPr>
          <w:rFonts w:hint="eastAsia" w:ascii="宋体" w:hAnsi="宋体"/>
          <w:b/>
          <w:color w:val="auto"/>
          <w:sz w:val="36"/>
          <w:szCs w:val="36"/>
        </w:rPr>
        <w:t>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1FF03157">
      <w:pPr>
        <w:jc w:val="center"/>
        <w:rPr>
          <w:rFonts w:hint="eastAsia" w:ascii="楷体_GB2312" w:eastAsia="楷体_GB2312"/>
          <w:color w:val="auto"/>
          <w:szCs w:val="32"/>
        </w:rPr>
      </w:pPr>
    </w:p>
    <w:p w14:paraId="77F1856F">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年度一般公共预算财政拨款“三公”经费支出决算表</w:t>
      </w:r>
    </w:p>
    <w:p w14:paraId="57C72F8B">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4A7829DD">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4EE09926">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0EBB670C">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710926EB">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4646C88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6AE9849">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1BB1CB25">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cs="仿宋_GB2312"/>
                <w:color w:val="auto"/>
                <w:kern w:val="0"/>
                <w:sz w:val="30"/>
                <w:szCs w:val="30"/>
                <w:lang w:val="en-US" w:eastAsia="zh-CN"/>
              </w:rPr>
              <w:t>18.38</w:t>
            </w:r>
          </w:p>
        </w:tc>
        <w:tc>
          <w:tcPr>
            <w:tcW w:w="2220" w:type="dxa"/>
            <w:tcBorders>
              <w:top w:val="nil"/>
              <w:left w:val="nil"/>
              <w:bottom w:val="single" w:color="auto" w:sz="4" w:space="0"/>
              <w:right w:val="single" w:color="auto" w:sz="4" w:space="0"/>
            </w:tcBorders>
            <w:noWrap w:val="0"/>
            <w:vAlign w:val="center"/>
          </w:tcPr>
          <w:p w14:paraId="3E683D12">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cs="仿宋_GB2312"/>
                <w:color w:val="auto"/>
                <w:kern w:val="0"/>
                <w:sz w:val="30"/>
                <w:szCs w:val="30"/>
                <w:lang w:val="en-US" w:eastAsia="zh-CN"/>
              </w:rPr>
              <w:t>10.93</w:t>
            </w:r>
          </w:p>
        </w:tc>
      </w:tr>
      <w:tr w14:paraId="26DA50C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F0ECFA2">
            <w:pPr>
              <w:widowControl/>
              <w:ind w:firstLine="314" w:firstLineChars="100"/>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7875CE5F">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0</w:t>
            </w:r>
            <w:r>
              <w:rPr>
                <w:rFonts w:hint="eastAsia" w:ascii="仿宋_GB2312" w:hAnsi="仿宋_GB2312" w:cs="仿宋_GB2312"/>
                <w:color w:val="auto"/>
                <w:kern w:val="0"/>
                <w:sz w:val="30"/>
                <w:szCs w:val="30"/>
                <w:lang w:val="en-US" w:eastAsia="zh-CN"/>
              </w:rPr>
              <w:t>.00</w:t>
            </w:r>
          </w:p>
        </w:tc>
        <w:tc>
          <w:tcPr>
            <w:tcW w:w="2220" w:type="dxa"/>
            <w:tcBorders>
              <w:top w:val="nil"/>
              <w:left w:val="nil"/>
              <w:bottom w:val="single" w:color="auto" w:sz="4" w:space="0"/>
              <w:right w:val="single" w:color="auto" w:sz="4" w:space="0"/>
            </w:tcBorders>
            <w:noWrap w:val="0"/>
            <w:vAlign w:val="bottom"/>
          </w:tcPr>
          <w:p w14:paraId="77BF9339">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0</w:t>
            </w:r>
            <w:r>
              <w:rPr>
                <w:rFonts w:hint="eastAsia" w:ascii="仿宋_GB2312" w:hAnsi="仿宋_GB2312" w:cs="仿宋_GB2312"/>
                <w:color w:val="auto"/>
                <w:kern w:val="0"/>
                <w:sz w:val="30"/>
                <w:szCs w:val="30"/>
                <w:lang w:val="en-US" w:eastAsia="zh-CN"/>
              </w:rPr>
              <w:t>.00</w:t>
            </w:r>
          </w:p>
        </w:tc>
      </w:tr>
      <w:tr w14:paraId="4890DC2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DDE4B5A">
            <w:pPr>
              <w:widowControl/>
              <w:ind w:firstLine="314" w:firstLineChars="100"/>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7BF62A0A">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cs="仿宋_GB2312"/>
                <w:color w:val="auto"/>
                <w:kern w:val="0"/>
                <w:sz w:val="30"/>
                <w:szCs w:val="30"/>
                <w:lang w:val="en-US" w:eastAsia="zh-CN"/>
              </w:rPr>
              <w:t>14.78</w:t>
            </w:r>
          </w:p>
        </w:tc>
        <w:tc>
          <w:tcPr>
            <w:tcW w:w="2220" w:type="dxa"/>
            <w:tcBorders>
              <w:top w:val="nil"/>
              <w:left w:val="nil"/>
              <w:bottom w:val="single" w:color="auto" w:sz="4" w:space="0"/>
              <w:right w:val="single" w:color="auto" w:sz="4" w:space="0"/>
            </w:tcBorders>
            <w:noWrap w:val="0"/>
            <w:vAlign w:val="bottom"/>
          </w:tcPr>
          <w:p w14:paraId="4E738AD5">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cs="仿宋_GB2312"/>
                <w:color w:val="auto"/>
                <w:kern w:val="0"/>
                <w:sz w:val="30"/>
                <w:szCs w:val="30"/>
                <w:lang w:val="en-US" w:eastAsia="zh-CN"/>
              </w:rPr>
              <w:t>7.33</w:t>
            </w:r>
          </w:p>
        </w:tc>
      </w:tr>
      <w:tr w14:paraId="4E4F925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2803806">
            <w:pPr>
              <w:widowControl/>
              <w:ind w:firstLine="314" w:firstLineChars="100"/>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1AB2845">
            <w:pPr>
              <w:widowControl/>
              <w:jc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3.6</w:t>
            </w:r>
          </w:p>
        </w:tc>
        <w:tc>
          <w:tcPr>
            <w:tcW w:w="2220" w:type="dxa"/>
            <w:tcBorders>
              <w:top w:val="nil"/>
              <w:left w:val="nil"/>
              <w:bottom w:val="single" w:color="auto" w:sz="4" w:space="0"/>
              <w:right w:val="single" w:color="auto" w:sz="4" w:space="0"/>
            </w:tcBorders>
            <w:noWrap w:val="0"/>
            <w:vAlign w:val="bottom"/>
          </w:tcPr>
          <w:p w14:paraId="6EF6F83B">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cs="仿宋_GB2312"/>
                <w:color w:val="auto"/>
                <w:kern w:val="0"/>
                <w:sz w:val="30"/>
                <w:szCs w:val="30"/>
                <w:lang w:val="en-US" w:eastAsia="zh-CN"/>
              </w:rPr>
              <w:t>3.6</w:t>
            </w:r>
          </w:p>
        </w:tc>
      </w:tr>
      <w:tr w14:paraId="1920F19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DE4CC3A">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CDF7EE6">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0</w:t>
            </w:r>
            <w:r>
              <w:rPr>
                <w:rFonts w:hint="eastAsia" w:ascii="仿宋_GB2312" w:hAnsi="仿宋_GB2312" w:cs="仿宋_GB2312"/>
                <w:color w:val="auto"/>
                <w:kern w:val="0"/>
                <w:sz w:val="30"/>
                <w:szCs w:val="30"/>
                <w:lang w:val="en-US" w:eastAsia="zh-CN"/>
              </w:rPr>
              <w:t>.00</w:t>
            </w:r>
          </w:p>
        </w:tc>
        <w:tc>
          <w:tcPr>
            <w:tcW w:w="2220" w:type="dxa"/>
            <w:tcBorders>
              <w:top w:val="nil"/>
              <w:left w:val="nil"/>
              <w:bottom w:val="single" w:color="auto" w:sz="4" w:space="0"/>
              <w:right w:val="single" w:color="auto" w:sz="4" w:space="0"/>
            </w:tcBorders>
            <w:noWrap w:val="0"/>
            <w:vAlign w:val="bottom"/>
          </w:tcPr>
          <w:p w14:paraId="5D84DB63">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0</w:t>
            </w:r>
            <w:r>
              <w:rPr>
                <w:rFonts w:hint="eastAsia" w:ascii="仿宋_GB2312" w:hAnsi="仿宋_GB2312" w:cs="仿宋_GB2312"/>
                <w:color w:val="auto"/>
                <w:kern w:val="0"/>
                <w:sz w:val="30"/>
                <w:szCs w:val="30"/>
                <w:lang w:val="en-US" w:eastAsia="zh-CN"/>
              </w:rPr>
              <w:t>.00</w:t>
            </w:r>
          </w:p>
        </w:tc>
      </w:tr>
      <w:tr w14:paraId="0749E56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DEA19B2">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2E7FA310">
            <w:pPr>
              <w:widowControl/>
              <w:jc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3.6</w:t>
            </w:r>
          </w:p>
        </w:tc>
        <w:tc>
          <w:tcPr>
            <w:tcW w:w="2220" w:type="dxa"/>
            <w:tcBorders>
              <w:top w:val="nil"/>
              <w:left w:val="nil"/>
              <w:bottom w:val="single" w:color="auto" w:sz="4" w:space="0"/>
              <w:right w:val="single" w:color="auto" w:sz="4" w:space="0"/>
            </w:tcBorders>
            <w:noWrap w:val="0"/>
            <w:vAlign w:val="bottom"/>
          </w:tcPr>
          <w:p w14:paraId="2672338A">
            <w:pPr>
              <w:widowControl/>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cs="仿宋_GB2312"/>
                <w:color w:val="auto"/>
                <w:kern w:val="0"/>
                <w:sz w:val="30"/>
                <w:szCs w:val="30"/>
                <w:lang w:val="en-US" w:eastAsia="zh-CN"/>
              </w:rPr>
              <w:t>3.6</w:t>
            </w:r>
          </w:p>
        </w:tc>
      </w:tr>
    </w:tbl>
    <w:p w14:paraId="238AF3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63D8A07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7618C8E2">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21624CBD">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6ECEBD12">
      <w:pPr>
        <w:ind w:firstLine="628" w:firstLineChars="200"/>
        <w:rPr>
          <w:rFonts w:hint="default" w:ascii="仿宋_GB2312" w:hAnsi="仿宋" w:eastAsia="仿宋_GB2312"/>
          <w:color w:val="auto"/>
          <w:szCs w:val="32"/>
          <w:u w:val="none"/>
          <w:lang w:val="en-US" w:eastAsia="zh-CN"/>
        </w:rPr>
      </w:pPr>
      <w:r>
        <w:rPr>
          <w:rFonts w:hint="eastAsia" w:ascii="仿宋_GB2312" w:hAnsi="仿宋"/>
          <w:color w:val="auto"/>
          <w:szCs w:val="32"/>
          <w:lang w:eastAsia="zh-CN"/>
        </w:rPr>
        <w:t>黄山风景区管委会经济发展局（财政局）202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18.38</w:t>
      </w:r>
      <w:r>
        <w:rPr>
          <w:rFonts w:hint="eastAsia" w:ascii="仿宋_GB2312" w:hAnsi="仿宋"/>
          <w:color w:val="auto"/>
          <w:szCs w:val="32"/>
        </w:rPr>
        <w:t>万元，支出决算为</w:t>
      </w:r>
      <w:r>
        <w:rPr>
          <w:rFonts w:hint="eastAsia" w:ascii="仿宋_GB2312" w:hAnsi="仿宋"/>
          <w:color w:val="auto"/>
          <w:szCs w:val="32"/>
          <w:lang w:val="en-US" w:eastAsia="zh-CN"/>
        </w:rPr>
        <w:t>10.93</w:t>
      </w:r>
      <w:r>
        <w:rPr>
          <w:rFonts w:hint="eastAsia" w:ascii="仿宋_GB2312" w:hAnsi="仿宋"/>
          <w:color w:val="auto"/>
          <w:szCs w:val="32"/>
        </w:rPr>
        <w:t>万元，完成预算的</w:t>
      </w:r>
      <w:r>
        <w:rPr>
          <w:rFonts w:hint="eastAsia" w:ascii="仿宋_GB2312" w:hAnsi="仿宋"/>
          <w:color w:val="auto"/>
          <w:szCs w:val="32"/>
          <w:lang w:val="en-US" w:eastAsia="zh-CN"/>
        </w:rPr>
        <w:t>59.47</w:t>
      </w:r>
      <w:r>
        <w:rPr>
          <w:rFonts w:hint="eastAsia" w:ascii="仿宋_GB2312" w:hAnsi="仿宋"/>
          <w:color w:val="auto"/>
          <w:szCs w:val="32"/>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10.7</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36.8%。</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s="Times New Roman"/>
          <w:color w:val="auto"/>
          <w:szCs w:val="32"/>
        </w:rPr>
        <w:t>严格按照规章制度执行，遵循厉行节约原则，合理有效节俭支出。</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受疫情影响，山岳联盟会议及国际组织活动暂缓，减少了接待开支。</w:t>
      </w:r>
    </w:p>
    <w:p w14:paraId="06812628">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2E94EB48">
      <w:pPr>
        <w:ind w:firstLine="628" w:firstLineChars="200"/>
        <w:rPr>
          <w:rFonts w:hint="eastAsia" w:ascii="仿宋_GB2312" w:hAnsi="仿宋"/>
          <w:color w:val="auto"/>
          <w:szCs w:val="32"/>
        </w:rPr>
      </w:pPr>
      <w:r>
        <w:rPr>
          <w:rFonts w:hint="eastAsia" w:ascii="仿宋_GB2312" w:hAnsi="仿宋"/>
          <w:color w:val="auto"/>
          <w:szCs w:val="32"/>
          <w:lang w:eastAsia="zh-CN"/>
        </w:rPr>
        <w:t>黄山风景区管委会经济发展局（财政局）202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万元;公务接待费支出决算</w:t>
      </w:r>
      <w:r>
        <w:rPr>
          <w:rFonts w:hint="eastAsia" w:ascii="仿宋_GB2312" w:hAnsi="仿宋"/>
          <w:color w:val="auto"/>
          <w:szCs w:val="32"/>
          <w:lang w:val="en-US" w:eastAsia="zh-CN"/>
        </w:rPr>
        <w:t>7.33</w:t>
      </w:r>
      <w:r>
        <w:rPr>
          <w:rFonts w:hint="eastAsia" w:ascii="仿宋_GB2312" w:hAnsi="仿宋"/>
          <w:color w:val="auto"/>
          <w:szCs w:val="32"/>
        </w:rPr>
        <w:t>万元，占</w:t>
      </w:r>
      <w:r>
        <w:rPr>
          <w:rFonts w:hint="eastAsia" w:ascii="仿宋_GB2312" w:hAnsi="仿宋"/>
          <w:color w:val="auto"/>
          <w:szCs w:val="32"/>
          <w:lang w:val="en-US" w:eastAsia="zh-CN"/>
        </w:rPr>
        <w:t>67.06</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3.07</w:t>
      </w:r>
      <w:r>
        <w:rPr>
          <w:rFonts w:hint="eastAsia" w:ascii="仿宋_GB2312" w:hAnsi="仿宋"/>
          <w:color w:val="auto"/>
          <w:szCs w:val="32"/>
        </w:rPr>
        <w:t>万元，占</w:t>
      </w:r>
      <w:r>
        <w:rPr>
          <w:rFonts w:hint="eastAsia" w:ascii="仿宋_GB2312" w:hAnsi="仿宋"/>
          <w:color w:val="auto"/>
          <w:szCs w:val="32"/>
          <w:lang w:val="en-US" w:eastAsia="zh-CN"/>
        </w:rPr>
        <w:t>32.94</w:t>
      </w:r>
      <w:r>
        <w:rPr>
          <w:rFonts w:hint="eastAsia" w:ascii="仿宋_GB2312" w:hAnsi="仿宋"/>
          <w:color w:val="auto"/>
          <w:szCs w:val="32"/>
        </w:rPr>
        <w:t>%。具体情况如下：</w:t>
      </w:r>
    </w:p>
    <w:p w14:paraId="787CAC6C">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_GB2312" w:eastAsia="仿宋_GB2312" w:cs="仿宋_GB2312"/>
          <w:color w:val="000000" w:themeColor="text1"/>
          <w:szCs w:val="32"/>
          <w:lang w:eastAsia="zh-CN"/>
          <w14:textFill>
            <w14:solidFill>
              <w14:schemeClr w14:val="tx1"/>
            </w14:solidFill>
          </w14:textFill>
        </w:rPr>
        <w:t>该项经费</w:t>
      </w:r>
      <w:r>
        <w:rPr>
          <w:rFonts w:hint="eastAsia" w:ascii="仿宋_GB2312" w:hAnsi="仿宋_GB2312" w:eastAsia="仿宋_GB2312" w:cs="仿宋_GB2312"/>
          <w:color w:val="000000" w:themeColor="text1"/>
          <w:szCs w:val="32"/>
          <w14:textFill>
            <w14:solidFill>
              <w14:schemeClr w14:val="tx1"/>
            </w14:solidFill>
          </w14:textFill>
        </w:rPr>
        <w:t>根据外办批准的因公临时出国（境）计划，由管委会统筹安排使用。</w:t>
      </w:r>
      <w:r>
        <w:rPr>
          <w:rFonts w:hint="eastAsia" w:ascii="仿宋_GB2312" w:hAnsi="仿宋_GB2312" w:cs="仿宋_GB2312"/>
          <w:color w:val="000000" w:themeColor="text1"/>
          <w:szCs w:val="32"/>
          <w:lang w:eastAsia="zh-CN"/>
          <w14:textFill>
            <w14:solidFill>
              <w14:schemeClr w14:val="tx1"/>
            </w14:solidFill>
          </w14:textFill>
        </w:rPr>
        <w:t>经费</w:t>
      </w:r>
      <w:r>
        <w:rPr>
          <w:rFonts w:hint="eastAsia" w:ascii="仿宋_GB2312" w:hAnsi="仿宋"/>
          <w:color w:val="auto"/>
          <w:szCs w:val="32"/>
        </w:rPr>
        <w:t>使用严格按照</w:t>
      </w:r>
      <w:r>
        <w:rPr>
          <w:rFonts w:hint="eastAsia" w:ascii="仿宋_GB2312" w:hAnsi="仿宋"/>
          <w:szCs w:val="32"/>
        </w:rPr>
        <w:t>《黄山市财政局 黄山市政府外事办公室关于转发&lt;安徽省省直党政机关因公临时出国经费管理办法&gt;的通知》（黄财行〔2014〕68号）、《黄山市财政局 黄山市人力资源和社会保障局转发&lt;安徽省省直党政机关因公短期出国培训费用管理办法&gt;的通知》（黄财社〔2014〕262号）</w:t>
      </w:r>
      <w:r>
        <w:rPr>
          <w:rFonts w:hint="eastAsia" w:ascii="仿宋_GB2312" w:hAnsi="仿宋"/>
          <w:color w:val="auto"/>
          <w:szCs w:val="32"/>
        </w:rPr>
        <w:t>等相关规定执行。</w:t>
      </w:r>
    </w:p>
    <w:p w14:paraId="5B6C4858">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18.38</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7.33万元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39.88</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7.1</w:t>
      </w:r>
      <w:r>
        <w:rPr>
          <w:rFonts w:hint="eastAsia" w:ascii="仿宋_GB2312" w:hAnsi="仿宋"/>
          <w:color w:val="auto"/>
          <w:szCs w:val="32"/>
          <w:u w:val="none"/>
        </w:rPr>
        <w:t>万元</w:t>
      </w:r>
      <w:r>
        <w:rPr>
          <w:rFonts w:hint="eastAsia" w:ascii="仿宋_GB2312" w:hAnsi="仿宋"/>
          <w:color w:val="auto"/>
          <w:szCs w:val="32"/>
          <w:u w:val="none"/>
          <w:lang w:eastAsia="zh-CN"/>
        </w:rPr>
        <w:t>，减少</w:t>
      </w:r>
      <w:r>
        <w:rPr>
          <w:rFonts w:hint="eastAsia" w:ascii="仿宋_GB2312" w:hAnsi="仿宋"/>
          <w:color w:val="auto"/>
          <w:szCs w:val="32"/>
          <w:u w:val="none"/>
          <w:lang w:val="en-US" w:eastAsia="zh-CN"/>
        </w:rPr>
        <w:t>27.86%。</w:t>
      </w:r>
      <w:r>
        <w:rPr>
          <w:rFonts w:hint="eastAsia" w:ascii="仿宋_GB2312" w:hAnsi="仿宋"/>
          <w:color w:val="auto"/>
          <w:szCs w:val="32"/>
          <w:u w:val="none"/>
        </w:rPr>
        <w:t>决算数</w:t>
      </w:r>
      <w:r>
        <w:rPr>
          <w:rFonts w:hint="eastAsia" w:ascii="仿宋_GB2312" w:hAnsi="仿宋"/>
          <w:color w:val="auto"/>
          <w:szCs w:val="32"/>
          <w:u w:val="none"/>
          <w:lang w:eastAsia="zh-CN"/>
        </w:rPr>
        <w:t>大</w:t>
      </w:r>
      <w:r>
        <w:rPr>
          <w:rFonts w:hint="eastAsia" w:ascii="仿宋_GB2312" w:hAnsi="仿宋"/>
          <w:color w:val="auto"/>
          <w:szCs w:val="32"/>
          <w:u w:val="none"/>
        </w:rPr>
        <w:t>于预算数的主要原因是</w:t>
      </w:r>
      <w:r>
        <w:rPr>
          <w:rFonts w:hint="eastAsia" w:ascii="仿宋_GB2312" w:hAnsi="仿宋" w:cs="Times New Roman"/>
          <w:color w:val="auto"/>
          <w:szCs w:val="32"/>
        </w:rPr>
        <w:t>严格按照规章制度执行，遵循厉行节约原则，合理有效节俭支出</w:t>
      </w:r>
      <w:r>
        <w:rPr>
          <w:rFonts w:hint="eastAsia" w:ascii="仿宋_GB2312" w:hAnsi="仿宋"/>
          <w:color w:val="auto"/>
          <w:szCs w:val="32"/>
          <w:u w:val="none"/>
        </w:rPr>
        <w:t>。决算数</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减少</w:t>
      </w:r>
      <w:r>
        <w:rPr>
          <w:rFonts w:hint="eastAsia" w:ascii="仿宋_GB2312" w:hAnsi="仿宋"/>
          <w:color w:val="auto"/>
          <w:szCs w:val="32"/>
          <w:u w:val="none"/>
        </w:rPr>
        <w:t>的主要原因是</w:t>
      </w:r>
      <w:r>
        <w:rPr>
          <w:rFonts w:hint="eastAsia" w:ascii="仿宋_GB2312" w:hAnsi="仿宋"/>
          <w:color w:val="auto"/>
          <w:szCs w:val="32"/>
        </w:rPr>
        <w:t>贯彻中央八项规定</w:t>
      </w:r>
      <w:r>
        <w:rPr>
          <w:rFonts w:hint="eastAsia" w:ascii="仿宋_GB2312" w:hAnsi="仿宋"/>
          <w:color w:val="auto"/>
          <w:szCs w:val="32"/>
          <w:lang w:eastAsia="zh-CN"/>
        </w:rPr>
        <w:t>精神，</w:t>
      </w:r>
      <w:r>
        <w:rPr>
          <w:rFonts w:hint="eastAsia" w:ascii="仿宋_GB2312" w:hAnsi="仿宋"/>
          <w:color w:val="auto"/>
          <w:szCs w:val="32"/>
          <w:u w:val="none"/>
          <w:lang w:val="en-US" w:eastAsia="zh-CN"/>
        </w:rPr>
        <w:t>受疫情影响，山岳联盟会议及国际组织活动暂缓，减少了接待开支。</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黄山风景区管委会经济发展局（财政局）</w:t>
      </w:r>
      <w:r>
        <w:rPr>
          <w:rFonts w:hint="eastAsia" w:ascii="仿宋_GB2312" w:hAnsi="仿宋"/>
          <w:color w:val="auto"/>
          <w:szCs w:val="32"/>
        </w:rPr>
        <w:t>国内公务接待共</w:t>
      </w:r>
      <w:r>
        <w:rPr>
          <w:rFonts w:hint="eastAsia" w:ascii="仿宋_GB2312" w:hAnsi="仿宋"/>
          <w:color w:val="auto"/>
          <w:szCs w:val="32"/>
          <w:lang w:val="en-US" w:eastAsia="zh-CN"/>
        </w:rPr>
        <w:t>49</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423</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_GB2312" w:eastAsia="仿宋_GB2312" w:cs="仿宋_GB2312"/>
          <w:color w:val="auto"/>
          <w:szCs w:val="32"/>
          <w:u w:val="none"/>
          <w:lang w:eastAsia="zh-CN"/>
        </w:rPr>
        <w:t>经审批的接待省、市级调研和检查指导及基层业务往来等公务活动支出</w:t>
      </w:r>
      <w:r>
        <w:rPr>
          <w:rFonts w:hint="eastAsia" w:ascii="仿宋_GB2312" w:hAnsi="仿宋_GB2312" w:cs="仿宋_GB2312"/>
          <w:color w:val="auto"/>
          <w:szCs w:val="32"/>
          <w:u w:val="none"/>
          <w:lang w:eastAsia="zh-CN"/>
        </w:rPr>
        <w:t>。</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，严格执行《党政机关厉行节约反对浪费条例</w:t>
      </w:r>
      <w:r>
        <w:rPr>
          <w:rFonts w:hint="eastAsia" w:ascii="仿宋_GB2312" w:hAnsi="仿宋"/>
          <w:color w:val="auto"/>
          <w:szCs w:val="32"/>
          <w:lang w:eastAsia="zh-CN"/>
        </w:rPr>
        <w:t>》</w:t>
      </w:r>
      <w:r>
        <w:rPr>
          <w:rFonts w:hint="eastAsia" w:ascii="仿宋_GB2312" w:hAnsi="仿宋"/>
          <w:color w:val="auto"/>
          <w:szCs w:val="32"/>
        </w:rPr>
        <w:t>《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r>
        <w:rPr>
          <w:rFonts w:hint="eastAsia" w:ascii="仿宋_GB2312" w:hAnsi="仿宋_GB2312" w:eastAsia="仿宋_GB2312" w:cs="仿宋_GB2312"/>
          <w:color w:val="auto"/>
          <w:szCs w:val="32"/>
          <w:u w:val="none"/>
          <w:lang w:eastAsia="zh-CN"/>
        </w:rPr>
        <w:t>《黄山风景区管委会公务接待管理细则》（黄办〔2020〕30号）</w:t>
      </w:r>
      <w:r>
        <w:rPr>
          <w:rFonts w:hint="eastAsia" w:ascii="仿宋_GB2312" w:hAnsi="仿宋"/>
          <w:color w:val="auto"/>
          <w:szCs w:val="32"/>
          <w:lang w:eastAsia="zh-CN"/>
        </w:rPr>
        <w:t>等</w:t>
      </w:r>
      <w:r>
        <w:rPr>
          <w:rFonts w:hint="eastAsia" w:ascii="仿宋_GB2312" w:hAnsi="仿宋"/>
          <w:color w:val="auto"/>
          <w:szCs w:val="32"/>
        </w:rPr>
        <w:t>相关规定。</w:t>
      </w:r>
    </w:p>
    <w:p w14:paraId="09BAF753">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3.6</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3.6万元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val="en-US" w:eastAsia="zh-CN"/>
        </w:rPr>
        <w:t>。</w:t>
      </w:r>
      <w:r>
        <w:rPr>
          <w:rFonts w:hint="eastAsia" w:ascii="仿宋_GB2312" w:hAnsi="仿宋"/>
          <w:color w:val="auto"/>
          <w:szCs w:val="32"/>
        </w:rPr>
        <w:t>其中，</w:t>
      </w: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s="Times New Roman"/>
          <w:color w:val="auto"/>
          <w:szCs w:val="32"/>
        </w:rPr>
        <w:t>年没有安排公务用车购置费</w:t>
      </w:r>
      <w:r>
        <w:rPr>
          <w:rFonts w:hint="eastAsia" w:ascii="楷体_GB2312" w:hAnsi="仿宋" w:eastAsia="楷体_GB2312"/>
          <w:color w:val="auto"/>
          <w:szCs w:val="32"/>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3.6</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3.6万元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rPr>
        <w:t>。公务用车运行维护费，包括车辆燃料费、维修费、过路过桥费、保险费等支出。截至</w:t>
      </w:r>
      <w:r>
        <w:rPr>
          <w:rFonts w:hint="eastAsia" w:ascii="仿宋_GB2312" w:hAnsi="仿宋"/>
          <w:color w:val="auto"/>
          <w:szCs w:val="32"/>
          <w:lang w:eastAsia="zh-CN"/>
        </w:rPr>
        <w:t>202</w:t>
      </w:r>
      <w:r>
        <w:rPr>
          <w:rFonts w:hint="eastAsia" w:ascii="仿宋_GB2312" w:hAnsi="仿宋"/>
          <w:color w:val="auto"/>
          <w:szCs w:val="32"/>
          <w:lang w:val="en-US" w:eastAsia="zh-CN"/>
        </w:rPr>
        <w:t>3</w:t>
      </w:r>
      <w:bookmarkStart w:id="0" w:name="_GoBack"/>
      <w:bookmarkEnd w:id="0"/>
      <w:r>
        <w:rPr>
          <w:rFonts w:hint="eastAsia" w:ascii="仿宋_GB2312" w:hAnsi="仿宋"/>
          <w:color w:val="auto"/>
          <w:szCs w:val="32"/>
        </w:rPr>
        <w:t>年12月31日，</w:t>
      </w:r>
      <w:r>
        <w:rPr>
          <w:rFonts w:hint="eastAsia" w:ascii="仿宋_GB2312" w:hAnsi="仿宋"/>
          <w:color w:val="auto"/>
          <w:szCs w:val="32"/>
          <w:lang w:eastAsia="zh-CN"/>
        </w:rPr>
        <w:t>黄山风景区管委会经济发展局（财政局）</w:t>
      </w:r>
      <w:r>
        <w:rPr>
          <w:rFonts w:hint="eastAsia" w:ascii="仿宋_GB2312" w:hAnsi="仿宋"/>
          <w:color w:val="auto"/>
          <w:szCs w:val="32"/>
        </w:rPr>
        <w:t>机关开支财政拨款的公务用车保有量为</w:t>
      </w:r>
      <w:r>
        <w:rPr>
          <w:rFonts w:hint="eastAsia" w:ascii="仿宋_GB2312" w:hAnsi="仿宋"/>
          <w:color w:val="auto"/>
          <w:szCs w:val="32"/>
          <w:lang w:val="en-US" w:eastAsia="zh-CN"/>
        </w:rPr>
        <w:t>1</w:t>
      </w:r>
      <w:r>
        <w:rPr>
          <w:rFonts w:hint="eastAsia" w:ascii="仿宋_GB2312" w:hAnsi="仿宋"/>
          <w:color w:val="auto"/>
          <w:szCs w:val="32"/>
        </w:rPr>
        <w:t>辆。</w:t>
      </w:r>
    </w:p>
    <w:p w14:paraId="2AE2E61C">
      <w:pPr>
        <w:pStyle w:val="2"/>
        <w:ind w:left="1258" w:hanging="1258"/>
        <w:jc w:val="both"/>
        <w:rPr>
          <w:rFonts w:hint="eastAsia" w:ascii="仿宋_GB2312" w:eastAsia="仿宋_GB2312"/>
          <w:color w:val="auto"/>
          <w:sz w:val="32"/>
        </w:rPr>
      </w:pPr>
    </w:p>
    <w:p w14:paraId="6314D6D4">
      <w:pPr>
        <w:pStyle w:val="2"/>
        <w:ind w:left="1258" w:hanging="1258"/>
        <w:jc w:val="both"/>
        <w:rPr>
          <w:rFonts w:hint="eastAsia" w:ascii="仿宋_GB2312" w:eastAsia="仿宋_GB2312"/>
          <w:color w:val="auto"/>
          <w:sz w:val="32"/>
        </w:rPr>
      </w:pPr>
    </w:p>
    <w:p w14:paraId="2499F8ED">
      <w:pPr>
        <w:pStyle w:val="2"/>
        <w:jc w:val="both"/>
        <w:rPr>
          <w:rFonts w:hint="eastAsia"/>
          <w:color w:val="auto"/>
        </w:rPr>
      </w:pPr>
    </w:p>
    <w:p w14:paraId="7C0F4427"/>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441">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02DB17B7">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222A">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677BFA7F">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M2U5NjQ3NjZmNWY1OTA1NmEzMzQ3NTY5YTMxM2YifQ=="/>
  </w:docVars>
  <w:rsids>
    <w:rsidRoot w:val="0EF30115"/>
    <w:rsid w:val="0EF30115"/>
    <w:rsid w:val="3C8D78DB"/>
    <w:rsid w:val="3DB456A8"/>
    <w:rsid w:val="46211AE3"/>
    <w:rsid w:val="6500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1596</Words>
  <Characters>1790</Characters>
  <Lines>0</Lines>
  <Paragraphs>0</Paragraphs>
  <TotalTime>2</TotalTime>
  <ScaleCrop>false</ScaleCrop>
  <LinksUpToDate>false</LinksUpToDate>
  <CharactersWithSpaces>1859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2023-09-24T02:34:00Z</dcterms:created>
  <dc:creator>Administrator</dc:creator>
  <cp:lastModifiedBy>Administrator</cp:lastModifiedBy>
  <dcterms:modified xsi:type="dcterms:W3CDTF">2024-09-26T01:01:16Z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F3653A4B30D64A81BA8767B912B04AE8_13</vt:lpwstr>
  </property>
</Properties>
</file>