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6"/>
        <w:ind w:firstLine="0"/>
        <w:jc w:val="center"/>
        <w:rPr>
          <w:rFonts w:ascii="Times New Roman" w:hAnsi="Times New Roman"/>
          <w:b/>
          <w:bCs/>
          <w:sz w:val="32"/>
          <w:szCs w:val="32"/>
        </w:rPr>
      </w:pPr>
      <w:r>
        <w:rPr>
          <w:rFonts w:ascii="Times New Roman" w:hAnsi="Times New Roman"/>
          <w:b/>
          <w:bCs/>
          <w:sz w:val="32"/>
          <w:szCs w:val="32"/>
        </w:rPr>
        <w:t>采购需求</w:t>
      </w:r>
      <w:r>
        <w:rPr>
          <w:rFonts w:hint="eastAsia" w:ascii="Times New Roman" w:hAnsi="Times New Roman"/>
          <w:b/>
          <w:bCs/>
          <w:sz w:val="32"/>
          <w:szCs w:val="32"/>
        </w:rPr>
        <w:t>及评分办法</w:t>
      </w:r>
    </w:p>
    <w:p>
      <w:pPr>
        <w:spacing w:line="360" w:lineRule="auto"/>
        <w:ind w:firstLine="422" w:firstLineChars="200"/>
        <w:outlineLvl w:val="0"/>
        <w:rPr>
          <w:b/>
          <w:szCs w:val="21"/>
        </w:rPr>
      </w:pPr>
      <w:bookmarkStart w:id="0" w:name="_Toc31437"/>
      <w:bookmarkStart w:id="1" w:name="OLE_LINK12"/>
      <w:r>
        <w:rPr>
          <w:b/>
          <w:szCs w:val="21"/>
        </w:rPr>
        <w:t>一、项目背景</w:t>
      </w:r>
    </w:p>
    <w:p>
      <w:pPr>
        <w:snapToGrid w:val="0"/>
        <w:spacing w:line="440" w:lineRule="exact"/>
        <w:ind w:firstLine="420" w:firstLineChars="200"/>
        <w:rPr>
          <w:bCs/>
          <w:szCs w:val="21"/>
        </w:rPr>
      </w:pPr>
      <w:r>
        <w:rPr>
          <w:bCs/>
          <w:szCs w:val="21"/>
        </w:rPr>
        <w:t>近年来，黄山风景区在生态环境监测和保护方面做了大量的基础工作，为全面、及时、精准的对景区生态环境进行监测和评估，先后建成了</w:t>
      </w:r>
      <w:r>
        <w:rPr>
          <w:rFonts w:hint="eastAsia"/>
          <w:bCs/>
          <w:szCs w:val="21"/>
        </w:rPr>
        <w:t>7</w:t>
      </w:r>
      <w:r>
        <w:rPr>
          <w:bCs/>
          <w:szCs w:val="21"/>
        </w:rPr>
        <w:t>个生态环境自动监测站点，</w:t>
      </w:r>
      <w:r>
        <w:rPr>
          <w:rFonts w:hint="eastAsia"/>
          <w:bCs/>
          <w:szCs w:val="21"/>
        </w:rPr>
        <w:t>1</w:t>
      </w:r>
      <w:r>
        <w:rPr>
          <w:bCs/>
          <w:szCs w:val="21"/>
        </w:rPr>
        <w:t>个污水在线监测站点。为保障自动监测站点的正常运行，现开展8个站点202</w:t>
      </w:r>
      <w:r>
        <w:rPr>
          <w:rFonts w:hint="eastAsia"/>
          <w:bCs/>
          <w:szCs w:val="21"/>
        </w:rPr>
        <w:t>4</w:t>
      </w:r>
      <w:r>
        <w:rPr>
          <w:bCs/>
          <w:szCs w:val="21"/>
        </w:rPr>
        <w:t>年度运行维护采购工作。</w:t>
      </w:r>
    </w:p>
    <w:p>
      <w:pPr>
        <w:snapToGrid w:val="0"/>
        <w:spacing w:line="440" w:lineRule="exact"/>
        <w:ind w:firstLine="422" w:firstLineChars="200"/>
        <w:outlineLvl w:val="0"/>
        <w:rPr>
          <w:rFonts w:hint="eastAsia"/>
          <w:b/>
          <w:szCs w:val="21"/>
        </w:rPr>
      </w:pPr>
    </w:p>
    <w:p>
      <w:pPr>
        <w:snapToGrid w:val="0"/>
        <w:spacing w:line="440" w:lineRule="exact"/>
        <w:ind w:firstLine="422" w:firstLineChars="200"/>
        <w:outlineLvl w:val="0"/>
        <w:rPr>
          <w:b/>
          <w:szCs w:val="21"/>
        </w:rPr>
      </w:pPr>
      <w:r>
        <w:rPr>
          <w:b/>
          <w:szCs w:val="21"/>
        </w:rPr>
        <w:t>二、供应商资格要求</w:t>
      </w:r>
    </w:p>
    <w:p>
      <w:pPr>
        <w:snapToGrid w:val="0"/>
        <w:spacing w:line="440" w:lineRule="exact"/>
        <w:ind w:firstLine="420" w:firstLineChars="200"/>
        <w:rPr>
          <w:bCs/>
          <w:szCs w:val="21"/>
        </w:rPr>
      </w:pPr>
      <w:r>
        <w:rPr>
          <w:bCs/>
          <w:szCs w:val="21"/>
        </w:rPr>
        <w:t>（一）符合政府采购法第二十二条规定的条件，并具备履行</w:t>
      </w:r>
      <w:r>
        <w:rPr>
          <w:rFonts w:hint="eastAsia"/>
          <w:lang w:eastAsia="zh-CN"/>
        </w:rPr>
        <w:t>工作</w:t>
      </w:r>
      <w:r>
        <w:rPr>
          <w:bCs/>
          <w:szCs w:val="21"/>
        </w:rPr>
        <w:t xml:space="preserve">所需的设备和专业技术能力的书面承诺。 </w:t>
      </w:r>
      <w:bookmarkStart w:id="5" w:name="_GoBack"/>
      <w:bookmarkEnd w:id="5"/>
    </w:p>
    <w:p>
      <w:pPr>
        <w:snapToGrid w:val="0"/>
        <w:spacing w:line="440" w:lineRule="exact"/>
        <w:ind w:firstLine="420" w:firstLineChars="200"/>
        <w:rPr>
          <w:bCs/>
          <w:szCs w:val="21"/>
        </w:rPr>
      </w:pPr>
      <w:r>
        <w:rPr>
          <w:bCs/>
          <w:szCs w:val="21"/>
        </w:rPr>
        <w:t>（二）本项目不接受联合体投标，中标后不允许分包或转包。</w:t>
      </w:r>
    </w:p>
    <w:p>
      <w:pPr>
        <w:snapToGrid w:val="0"/>
        <w:spacing w:line="440" w:lineRule="exact"/>
        <w:ind w:firstLine="420" w:firstLineChars="200"/>
        <w:rPr>
          <w:bCs/>
          <w:szCs w:val="21"/>
        </w:rPr>
      </w:pPr>
    </w:p>
    <w:p>
      <w:pPr>
        <w:snapToGrid w:val="0"/>
        <w:spacing w:line="440" w:lineRule="exact"/>
        <w:ind w:firstLine="422" w:firstLineChars="200"/>
        <w:outlineLvl w:val="0"/>
        <w:rPr>
          <w:b/>
          <w:szCs w:val="21"/>
        </w:rPr>
      </w:pPr>
      <w:r>
        <w:rPr>
          <w:b/>
          <w:szCs w:val="21"/>
        </w:rPr>
        <w:t>三、技术条款</w:t>
      </w:r>
    </w:p>
    <w:bookmarkEnd w:id="0"/>
    <w:bookmarkEnd w:id="1"/>
    <w:p>
      <w:pPr>
        <w:snapToGrid w:val="0"/>
        <w:spacing w:line="440" w:lineRule="exact"/>
        <w:ind w:firstLine="422" w:firstLineChars="200"/>
        <w:outlineLvl w:val="0"/>
        <w:rPr>
          <w:b/>
          <w:szCs w:val="21"/>
        </w:rPr>
      </w:pPr>
      <w:bookmarkStart w:id="2" w:name="_Toc502068001"/>
      <w:bookmarkEnd w:id="2"/>
      <w:r>
        <w:rPr>
          <w:b/>
          <w:szCs w:val="21"/>
        </w:rPr>
        <w:t>（一）维保服务内容</w:t>
      </w:r>
    </w:p>
    <w:p>
      <w:pPr>
        <w:snapToGrid w:val="0"/>
        <w:spacing w:line="440" w:lineRule="exact"/>
        <w:ind w:firstLine="420" w:firstLineChars="200"/>
        <w:rPr>
          <w:bCs/>
          <w:szCs w:val="21"/>
        </w:rPr>
      </w:pPr>
      <w:r>
        <w:rPr>
          <w:bCs/>
          <w:szCs w:val="21"/>
        </w:rPr>
        <w:t>1、要求提供定期巡检，并建立双方沟通反馈机制；</w:t>
      </w:r>
    </w:p>
    <w:p>
      <w:pPr>
        <w:snapToGrid w:val="0"/>
        <w:spacing w:line="440" w:lineRule="exact"/>
        <w:ind w:firstLine="420" w:firstLineChars="200"/>
        <w:rPr>
          <w:bCs/>
          <w:szCs w:val="21"/>
        </w:rPr>
      </w:pPr>
      <w:r>
        <w:rPr>
          <w:bCs/>
          <w:szCs w:val="21"/>
        </w:rPr>
        <w:t>2、传感模块远程维护</w:t>
      </w:r>
    </w:p>
    <w:p>
      <w:pPr>
        <w:snapToGrid w:val="0"/>
        <w:spacing w:line="440" w:lineRule="exact"/>
        <w:ind w:firstLine="420" w:firstLineChars="200"/>
        <w:rPr>
          <w:bCs/>
          <w:szCs w:val="21"/>
        </w:rPr>
      </w:pPr>
      <w:r>
        <w:rPr>
          <w:bCs/>
          <w:szCs w:val="21"/>
        </w:rPr>
        <w:t>传感模块远程校准，确认数据有效性</w:t>
      </w:r>
    </w:p>
    <w:p>
      <w:pPr>
        <w:snapToGrid w:val="0"/>
        <w:spacing w:line="440" w:lineRule="exact"/>
        <w:ind w:firstLine="420" w:firstLineChars="200"/>
        <w:rPr>
          <w:bCs/>
          <w:szCs w:val="21"/>
        </w:rPr>
      </w:pPr>
      <w:r>
        <w:rPr>
          <w:bCs/>
          <w:szCs w:val="21"/>
        </w:rPr>
        <w:t>3、传感模块现场标定</w:t>
      </w:r>
    </w:p>
    <w:p>
      <w:pPr>
        <w:snapToGrid w:val="0"/>
        <w:spacing w:line="440" w:lineRule="exact"/>
        <w:ind w:firstLine="420" w:firstLineChars="200"/>
        <w:rPr>
          <w:bCs/>
          <w:szCs w:val="21"/>
        </w:rPr>
      </w:pPr>
      <w:r>
        <w:rPr>
          <w:bCs/>
          <w:szCs w:val="21"/>
        </w:rPr>
        <w:t>每6个月人工标定传感模块，保障传感器工作精度；</w:t>
      </w:r>
    </w:p>
    <w:p>
      <w:pPr>
        <w:snapToGrid w:val="0"/>
        <w:spacing w:line="440" w:lineRule="exact"/>
        <w:ind w:firstLine="420" w:firstLineChars="200"/>
        <w:rPr>
          <w:bCs/>
          <w:szCs w:val="21"/>
        </w:rPr>
      </w:pPr>
      <w:r>
        <w:rPr>
          <w:bCs/>
          <w:szCs w:val="21"/>
        </w:rPr>
        <w:t>4、传感模块和污水在线监测试剂现场更换</w:t>
      </w:r>
    </w:p>
    <w:p>
      <w:pPr>
        <w:snapToGrid w:val="0"/>
        <w:spacing w:line="440" w:lineRule="exact"/>
        <w:ind w:firstLine="420" w:firstLineChars="200"/>
        <w:rPr>
          <w:bCs/>
          <w:szCs w:val="21"/>
        </w:rPr>
      </w:pPr>
      <w:r>
        <w:rPr>
          <w:bCs/>
          <w:szCs w:val="21"/>
        </w:rPr>
        <w:t>传感模块和设备分析试剂属于耗材，按照传感器寿命定期更换传感器，保障数据准确性正常运行；定期更换在线监测设备试剂耗材，保障在线监测设备正常稳定运行。</w:t>
      </w:r>
    </w:p>
    <w:p>
      <w:pPr>
        <w:snapToGrid w:val="0"/>
        <w:spacing w:line="440" w:lineRule="exact"/>
        <w:ind w:firstLine="420" w:firstLineChars="200"/>
        <w:rPr>
          <w:bCs/>
          <w:szCs w:val="21"/>
        </w:rPr>
      </w:pPr>
      <w:r>
        <w:rPr>
          <w:bCs/>
          <w:szCs w:val="21"/>
        </w:rPr>
        <w:t>5、要求故障及时响应</w:t>
      </w:r>
    </w:p>
    <w:p>
      <w:pPr>
        <w:snapToGrid w:val="0"/>
        <w:spacing w:line="440" w:lineRule="exact"/>
        <w:ind w:firstLine="420" w:firstLineChars="200"/>
        <w:rPr>
          <w:bCs/>
          <w:szCs w:val="21"/>
        </w:rPr>
      </w:pPr>
      <w:r>
        <w:rPr>
          <w:bCs/>
          <w:szCs w:val="21"/>
        </w:rPr>
        <w:t>1）平台或手机App故障</w:t>
      </w:r>
    </w:p>
    <w:p>
      <w:pPr>
        <w:snapToGrid w:val="0"/>
        <w:spacing w:line="440" w:lineRule="exact"/>
        <w:ind w:firstLine="420" w:firstLineChars="200"/>
        <w:rPr>
          <w:bCs/>
          <w:szCs w:val="21"/>
        </w:rPr>
      </w:pPr>
      <w:r>
        <w:rPr>
          <w:bCs/>
          <w:szCs w:val="21"/>
        </w:rPr>
        <w:t>运维方应在接到采购方通知2小时内响应；检查故障原因；并向采购方及时反馈；</w:t>
      </w:r>
    </w:p>
    <w:p>
      <w:pPr>
        <w:snapToGrid w:val="0"/>
        <w:spacing w:line="440" w:lineRule="exact"/>
        <w:ind w:firstLine="420" w:firstLineChars="200"/>
        <w:rPr>
          <w:bCs/>
          <w:szCs w:val="21"/>
        </w:rPr>
      </w:pPr>
      <w:r>
        <w:rPr>
          <w:bCs/>
          <w:szCs w:val="21"/>
        </w:rPr>
        <w:t>2）各监测站点设备出现故障</w:t>
      </w:r>
    </w:p>
    <w:p>
      <w:pPr>
        <w:snapToGrid w:val="0"/>
        <w:spacing w:line="440" w:lineRule="exact"/>
        <w:ind w:firstLine="420" w:firstLineChars="200"/>
        <w:rPr>
          <w:bCs/>
          <w:szCs w:val="21"/>
        </w:rPr>
      </w:pPr>
      <w:r>
        <w:rPr>
          <w:bCs/>
          <w:szCs w:val="21"/>
        </w:rPr>
        <w:t>运维方应在接到采购方通知2小时内响应；48小时内完成现场故障排查；向采购方提出部件更换或修理建议；更换或修理故障部件直至排除故障。</w:t>
      </w:r>
    </w:p>
    <w:p>
      <w:pPr>
        <w:snapToGrid w:val="0"/>
        <w:spacing w:line="440" w:lineRule="exact"/>
        <w:ind w:firstLine="420" w:firstLineChars="200"/>
        <w:rPr>
          <w:bCs/>
          <w:szCs w:val="21"/>
        </w:rPr>
      </w:pPr>
      <w:r>
        <w:rPr>
          <w:bCs/>
          <w:szCs w:val="21"/>
        </w:rPr>
        <w:t>6、运维方应提供系统安全服务，包括：</w:t>
      </w:r>
    </w:p>
    <w:p>
      <w:pPr>
        <w:snapToGrid w:val="0"/>
        <w:spacing w:line="440" w:lineRule="exact"/>
        <w:ind w:firstLine="420" w:firstLineChars="200"/>
        <w:rPr>
          <w:bCs/>
          <w:szCs w:val="21"/>
        </w:rPr>
      </w:pPr>
      <w:r>
        <w:rPr>
          <w:bCs/>
          <w:szCs w:val="21"/>
        </w:rPr>
        <w:t>1）云服务器安全</w:t>
      </w:r>
    </w:p>
    <w:p>
      <w:pPr>
        <w:snapToGrid w:val="0"/>
        <w:spacing w:line="440" w:lineRule="exact"/>
        <w:ind w:firstLine="420" w:firstLineChars="200"/>
        <w:rPr>
          <w:bCs/>
          <w:szCs w:val="21"/>
        </w:rPr>
      </w:pPr>
      <w:r>
        <w:rPr>
          <w:bCs/>
          <w:szCs w:val="21"/>
        </w:rPr>
        <w:t>2）云数据库安全</w:t>
      </w:r>
    </w:p>
    <w:p>
      <w:pPr>
        <w:snapToGrid w:val="0"/>
        <w:spacing w:line="440" w:lineRule="exact"/>
        <w:ind w:firstLine="420" w:firstLineChars="200"/>
        <w:rPr>
          <w:bCs/>
          <w:szCs w:val="21"/>
        </w:rPr>
      </w:pPr>
      <w:r>
        <w:rPr>
          <w:bCs/>
          <w:szCs w:val="21"/>
        </w:rPr>
        <w:t>3）数据传输安全</w:t>
      </w:r>
    </w:p>
    <w:p>
      <w:pPr>
        <w:snapToGrid w:val="0"/>
        <w:spacing w:line="440" w:lineRule="exact"/>
        <w:ind w:firstLine="420" w:firstLineChars="200"/>
        <w:rPr>
          <w:bCs/>
          <w:szCs w:val="21"/>
        </w:rPr>
      </w:pPr>
      <w:r>
        <w:rPr>
          <w:bCs/>
          <w:szCs w:val="21"/>
        </w:rPr>
        <w:t>7、运维方应负责提供数据流量</w:t>
      </w:r>
    </w:p>
    <w:p>
      <w:pPr>
        <w:snapToGrid w:val="0"/>
        <w:spacing w:line="440" w:lineRule="exact"/>
        <w:ind w:firstLine="420" w:firstLineChars="200"/>
        <w:rPr>
          <w:bCs/>
          <w:szCs w:val="21"/>
        </w:rPr>
      </w:pPr>
      <w:r>
        <w:rPr>
          <w:bCs/>
          <w:szCs w:val="21"/>
        </w:rPr>
        <w:t>提供各监测站数据流量卡，保障各监测设备数据传输正常；</w:t>
      </w:r>
    </w:p>
    <w:p>
      <w:pPr>
        <w:snapToGrid w:val="0"/>
        <w:spacing w:line="440" w:lineRule="exact"/>
        <w:ind w:firstLine="420" w:firstLineChars="200"/>
        <w:rPr>
          <w:bCs/>
          <w:szCs w:val="21"/>
        </w:rPr>
      </w:pPr>
      <w:r>
        <w:rPr>
          <w:bCs/>
          <w:szCs w:val="21"/>
        </w:rPr>
        <w:t>8、运维方应提供数据验证</w:t>
      </w:r>
    </w:p>
    <w:p>
      <w:pPr>
        <w:snapToGrid w:val="0"/>
        <w:spacing w:line="440" w:lineRule="exact"/>
        <w:ind w:firstLine="420" w:firstLineChars="200"/>
        <w:rPr>
          <w:bCs/>
          <w:szCs w:val="21"/>
        </w:rPr>
      </w:pPr>
      <w:r>
        <w:rPr>
          <w:bCs/>
          <w:szCs w:val="21"/>
        </w:rPr>
        <w:t>1）模型后台判定监测异常数据</w:t>
      </w:r>
    </w:p>
    <w:p>
      <w:pPr>
        <w:snapToGrid w:val="0"/>
        <w:spacing w:line="440" w:lineRule="exact"/>
        <w:ind w:firstLine="420" w:firstLineChars="200"/>
        <w:rPr>
          <w:bCs/>
          <w:szCs w:val="21"/>
        </w:rPr>
      </w:pPr>
      <w:r>
        <w:rPr>
          <w:bCs/>
          <w:szCs w:val="21"/>
        </w:rPr>
        <w:t>2）实施数据拦截、剔除，有效确保正常数据</w:t>
      </w:r>
    </w:p>
    <w:p>
      <w:pPr>
        <w:snapToGrid w:val="0"/>
        <w:spacing w:line="440" w:lineRule="exact"/>
        <w:ind w:firstLine="420" w:firstLineChars="200"/>
        <w:rPr>
          <w:bCs/>
          <w:szCs w:val="21"/>
        </w:rPr>
      </w:pPr>
      <w:r>
        <w:rPr>
          <w:bCs/>
          <w:szCs w:val="21"/>
        </w:rPr>
        <w:t>9、运维方应提供7</w:t>
      </w:r>
      <w:r>
        <w:rPr>
          <w:rFonts w:hint="eastAsia"/>
          <w:bCs/>
          <w:szCs w:val="21"/>
        </w:rPr>
        <w:t>×</w:t>
      </w:r>
      <w:r>
        <w:rPr>
          <w:bCs/>
          <w:szCs w:val="21"/>
        </w:rPr>
        <w:t>24小时在线服务</w:t>
      </w:r>
    </w:p>
    <w:p>
      <w:pPr>
        <w:snapToGrid w:val="0"/>
        <w:spacing w:line="440" w:lineRule="exact"/>
        <w:ind w:firstLine="420" w:firstLineChars="200"/>
        <w:rPr>
          <w:bCs/>
          <w:szCs w:val="21"/>
        </w:rPr>
      </w:pPr>
      <w:r>
        <w:rPr>
          <w:bCs/>
          <w:szCs w:val="21"/>
        </w:rPr>
        <w:t>10、运维方需提供运行分析报告</w:t>
      </w:r>
    </w:p>
    <w:p>
      <w:pPr>
        <w:snapToGrid w:val="0"/>
        <w:spacing w:line="440" w:lineRule="exact"/>
        <w:ind w:firstLine="420" w:firstLineChars="200"/>
        <w:rPr>
          <w:bCs/>
          <w:szCs w:val="21"/>
        </w:rPr>
      </w:pPr>
      <w:r>
        <w:rPr>
          <w:bCs/>
          <w:szCs w:val="21"/>
        </w:rPr>
        <w:t>1）异常数据报告：根据不间断设备监控服务，监听设备运行数据，提供异常数据报告分析</w:t>
      </w:r>
    </w:p>
    <w:p>
      <w:pPr>
        <w:snapToGrid w:val="0"/>
        <w:spacing w:line="440" w:lineRule="exact"/>
        <w:ind w:firstLine="420" w:firstLineChars="200"/>
        <w:rPr>
          <w:bCs/>
          <w:szCs w:val="21"/>
        </w:rPr>
      </w:pPr>
      <w:r>
        <w:rPr>
          <w:bCs/>
          <w:szCs w:val="21"/>
        </w:rPr>
        <w:t>2）运行统计报告：提供监测设备月度运行统计分析报告</w:t>
      </w:r>
    </w:p>
    <w:p>
      <w:pPr>
        <w:snapToGrid w:val="0"/>
        <w:spacing w:line="440" w:lineRule="exact"/>
        <w:ind w:firstLine="420" w:firstLineChars="200"/>
        <w:rPr>
          <w:bCs/>
          <w:szCs w:val="21"/>
        </w:rPr>
      </w:pPr>
      <w:r>
        <w:rPr>
          <w:bCs/>
          <w:szCs w:val="21"/>
        </w:rPr>
        <w:t>11、运维方需提供技术文档</w:t>
      </w:r>
    </w:p>
    <w:p>
      <w:pPr>
        <w:snapToGrid w:val="0"/>
        <w:spacing w:line="440" w:lineRule="exact"/>
        <w:ind w:firstLine="420" w:firstLineChars="200"/>
        <w:rPr>
          <w:bCs/>
          <w:szCs w:val="21"/>
        </w:rPr>
      </w:pPr>
      <w:r>
        <w:rPr>
          <w:bCs/>
          <w:szCs w:val="21"/>
        </w:rPr>
        <w:t>1）提供用户访问平台地址、平台用户、口令等文档支持；</w:t>
      </w:r>
    </w:p>
    <w:p>
      <w:pPr>
        <w:snapToGrid w:val="0"/>
        <w:spacing w:line="440" w:lineRule="exact"/>
        <w:ind w:firstLine="420" w:firstLineChars="200"/>
        <w:rPr>
          <w:bCs/>
          <w:szCs w:val="21"/>
        </w:rPr>
      </w:pPr>
      <w:r>
        <w:rPr>
          <w:bCs/>
          <w:szCs w:val="21"/>
        </w:rPr>
        <w:t>2）提供手机APP应用下载更新地址；</w:t>
      </w:r>
    </w:p>
    <w:p>
      <w:pPr>
        <w:snapToGrid w:val="0"/>
        <w:spacing w:line="440" w:lineRule="exact"/>
        <w:ind w:firstLine="420" w:firstLineChars="200"/>
        <w:rPr>
          <w:bCs/>
          <w:szCs w:val="21"/>
        </w:rPr>
      </w:pPr>
      <w:r>
        <w:rPr>
          <w:bCs/>
          <w:szCs w:val="21"/>
        </w:rPr>
        <w:t>3）提供设备日常维护保养等文档支持；</w:t>
      </w:r>
    </w:p>
    <w:p>
      <w:pPr>
        <w:snapToGrid w:val="0"/>
        <w:spacing w:line="440" w:lineRule="exact"/>
        <w:ind w:firstLine="420" w:firstLineChars="200"/>
        <w:rPr>
          <w:bCs/>
          <w:szCs w:val="21"/>
        </w:rPr>
      </w:pPr>
      <w:r>
        <w:rPr>
          <w:bCs/>
          <w:szCs w:val="21"/>
        </w:rPr>
        <w:t>12、每日设备监控</w:t>
      </w:r>
    </w:p>
    <w:p>
      <w:pPr>
        <w:snapToGrid w:val="0"/>
        <w:spacing w:line="440" w:lineRule="exact"/>
        <w:ind w:firstLine="420" w:firstLineChars="200"/>
        <w:rPr>
          <w:bCs/>
          <w:szCs w:val="21"/>
        </w:rPr>
      </w:pPr>
      <w:r>
        <w:rPr>
          <w:bCs/>
          <w:szCs w:val="21"/>
        </w:rPr>
        <w:t>运维方每天对各监测站点设备运行情况进行实时监控，检查数据上传是否正常，如发现数据有持续异常情况及时与采购方联系人员沟通，可协调采购方安排巡检人员到现场处理。</w:t>
      </w:r>
    </w:p>
    <w:p>
      <w:pPr>
        <w:snapToGrid w:val="0"/>
        <w:spacing w:line="440" w:lineRule="exact"/>
        <w:ind w:firstLine="420" w:firstLineChars="200"/>
        <w:rPr>
          <w:bCs/>
          <w:szCs w:val="21"/>
        </w:rPr>
      </w:pPr>
      <w:r>
        <w:rPr>
          <w:bCs/>
          <w:szCs w:val="21"/>
        </w:rPr>
        <w:t>13、人员培训</w:t>
      </w:r>
    </w:p>
    <w:p>
      <w:pPr>
        <w:snapToGrid w:val="0"/>
        <w:spacing w:line="440" w:lineRule="exact"/>
        <w:ind w:firstLine="420" w:firstLineChars="200"/>
        <w:rPr>
          <w:bCs/>
          <w:szCs w:val="21"/>
        </w:rPr>
      </w:pPr>
      <w:r>
        <w:rPr>
          <w:bCs/>
          <w:szCs w:val="21"/>
        </w:rPr>
        <w:t>运维方负责对采购方管理人员和巡检人员进行理论知识和相关技能的集中培训，培训每年不少于一次。</w:t>
      </w:r>
    </w:p>
    <w:p>
      <w:pPr>
        <w:snapToGrid w:val="0"/>
        <w:spacing w:line="440" w:lineRule="exact"/>
        <w:ind w:firstLine="420" w:firstLineChars="200"/>
        <w:rPr>
          <w:bCs/>
          <w:szCs w:val="21"/>
        </w:rPr>
      </w:pPr>
      <w:r>
        <w:rPr>
          <w:bCs/>
          <w:szCs w:val="21"/>
        </w:rPr>
        <w:t>14、运维报告</w:t>
      </w:r>
    </w:p>
    <w:p>
      <w:pPr>
        <w:snapToGrid w:val="0"/>
        <w:spacing w:line="440" w:lineRule="exact"/>
        <w:ind w:firstLine="420" w:firstLineChars="200"/>
        <w:rPr>
          <w:bCs/>
          <w:szCs w:val="21"/>
        </w:rPr>
      </w:pPr>
      <w:r>
        <w:rPr>
          <w:bCs/>
          <w:szCs w:val="21"/>
        </w:rPr>
        <w:t>运维方应针对实际运维工作，提交运维报告，报告内容应包含时间段内运维工作内容、故障时间，故障设备，故障描述等内容。</w:t>
      </w:r>
    </w:p>
    <w:p>
      <w:pPr>
        <w:snapToGrid w:val="0"/>
        <w:spacing w:line="440" w:lineRule="exact"/>
        <w:ind w:firstLine="420" w:firstLineChars="200"/>
        <w:rPr>
          <w:bCs/>
          <w:szCs w:val="21"/>
        </w:rPr>
      </w:pPr>
      <w:r>
        <w:rPr>
          <w:bCs/>
          <w:szCs w:val="21"/>
        </w:rPr>
        <w:t>15、工作汇报</w:t>
      </w:r>
    </w:p>
    <w:p>
      <w:pPr>
        <w:snapToGrid w:val="0"/>
        <w:spacing w:line="440" w:lineRule="exact"/>
        <w:ind w:firstLine="420" w:firstLineChars="200"/>
        <w:rPr>
          <w:bCs/>
          <w:szCs w:val="21"/>
        </w:rPr>
      </w:pPr>
      <w:r>
        <w:rPr>
          <w:bCs/>
          <w:szCs w:val="21"/>
        </w:rPr>
        <w:t xml:space="preserve">运维方应定期向采购方汇报运维工作，向采购方提供维护工作总结报告，内容包括设备的维护、送修状况、耗材的更换情况、设备运行情况、网络运行状况及使用或工作建议等； </w:t>
      </w:r>
    </w:p>
    <w:p>
      <w:pPr>
        <w:snapToGrid w:val="0"/>
        <w:spacing w:line="440" w:lineRule="exact"/>
        <w:ind w:firstLine="420" w:firstLineChars="200"/>
        <w:rPr>
          <w:bCs/>
          <w:szCs w:val="21"/>
        </w:rPr>
      </w:pPr>
      <w:r>
        <w:rPr>
          <w:bCs/>
          <w:szCs w:val="21"/>
        </w:rPr>
        <w:t>16、服务流程</w:t>
      </w:r>
    </w:p>
    <w:p>
      <w:pPr>
        <w:snapToGrid w:val="0"/>
        <w:spacing w:line="440" w:lineRule="exact"/>
        <w:ind w:firstLine="420" w:firstLineChars="200"/>
        <w:rPr>
          <w:bCs/>
          <w:szCs w:val="21"/>
        </w:rPr>
        <w:sectPr>
          <w:headerReference r:id="rId3" w:type="default"/>
          <w:footerReference r:id="rId4" w:type="even"/>
          <w:pgSz w:w="11906" w:h="16838"/>
          <w:pgMar w:top="1015" w:right="1134" w:bottom="868" w:left="1134" w:header="851" w:footer="907" w:gutter="0"/>
          <w:pgNumType w:start="1"/>
          <w:cols w:space="720" w:num="1"/>
          <w:titlePg/>
          <w:docGrid w:type="lines" w:linePitch="286" w:charSpace="0"/>
        </w:sectPr>
      </w:pPr>
      <w:r>
        <w:rPr>
          <w:bCs/>
          <w:szCs w:val="21"/>
        </w:rPr>
        <w:t>运维方需要根据送修、现场、特殊服务要求（如购件、升级等）等服务类型制定科学、合理一套符合政府的维护工作标准和规范流程，并需得到采购方的审核、批准。在维护期内，运维方需要严格遵循服务流程做好每一项服务。运维方须定期提交维护服务流程执行情况报告，发现不足及问题，要及时与采购方协商解决办法。</w:t>
      </w:r>
    </w:p>
    <w:p>
      <w:pPr>
        <w:snapToGrid w:val="0"/>
        <w:spacing w:line="440" w:lineRule="exact"/>
        <w:ind w:firstLine="422" w:firstLineChars="200"/>
        <w:outlineLvl w:val="0"/>
        <w:rPr>
          <w:b/>
          <w:szCs w:val="21"/>
        </w:rPr>
      </w:pPr>
      <w:r>
        <w:rPr>
          <w:rFonts w:hint="eastAsia"/>
          <w:b/>
          <w:szCs w:val="21"/>
          <w:lang w:eastAsia="zh-CN"/>
        </w:rPr>
        <w:t>（</w:t>
      </w:r>
      <w:r>
        <w:rPr>
          <w:rFonts w:hint="eastAsia"/>
          <w:b/>
          <w:szCs w:val="21"/>
          <w:lang w:val="en-US" w:eastAsia="zh-CN"/>
        </w:rPr>
        <w:t>二</w:t>
      </w:r>
      <w:r>
        <w:rPr>
          <w:rFonts w:hint="eastAsia"/>
          <w:b/>
          <w:szCs w:val="21"/>
          <w:lang w:eastAsia="zh-CN"/>
        </w:rPr>
        <w:t>）</w:t>
      </w:r>
      <w:r>
        <w:rPr>
          <w:b/>
          <w:szCs w:val="21"/>
        </w:rPr>
        <w:t>维保设备清单及相关型号</w:t>
      </w:r>
    </w:p>
    <w:p>
      <w:pPr>
        <w:spacing w:line="240" w:lineRule="exact"/>
        <w:ind w:firstLine="420" w:firstLineChars="200"/>
        <w:rPr>
          <w:rFonts w:hint="eastAsia"/>
          <w:bCs/>
          <w:szCs w:val="21"/>
        </w:rPr>
      </w:pPr>
      <w:r>
        <w:rPr>
          <w:rFonts w:hint="eastAsia"/>
          <w:bCs/>
          <w:szCs w:val="21"/>
        </w:rPr>
        <w:t>1、七个生态环境自动监测站</w:t>
      </w:r>
      <w:r>
        <w:rPr>
          <w:rFonts w:hint="eastAsia" w:eastAsia="文鼎大标宋"/>
          <w:sz w:val="18"/>
          <w:szCs w:val="18"/>
        </w:rPr>
        <w:t>（云谷寺、汤泉、西海、松谷、钓桥、浮溪、五里桥）</w:t>
      </w:r>
    </w:p>
    <w:tbl>
      <w:tblPr>
        <w:tblStyle w:val="14"/>
        <w:tblW w:w="92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709"/>
        <w:gridCol w:w="1276"/>
        <w:gridCol w:w="1842"/>
        <w:gridCol w:w="2127"/>
        <w:gridCol w:w="85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1" w:hRule="atLeast"/>
          <w:jc w:val="center"/>
        </w:trPr>
        <w:tc>
          <w:tcPr>
            <w:tcW w:w="704"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站点名称</w:t>
            </w:r>
          </w:p>
        </w:tc>
        <w:tc>
          <w:tcPr>
            <w:tcW w:w="709"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序号</w:t>
            </w:r>
          </w:p>
        </w:tc>
        <w:tc>
          <w:tcPr>
            <w:tcW w:w="1276"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类别</w:t>
            </w:r>
          </w:p>
        </w:tc>
        <w:tc>
          <w:tcPr>
            <w:tcW w:w="1842"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名称</w:t>
            </w:r>
          </w:p>
        </w:tc>
        <w:tc>
          <w:tcPr>
            <w:tcW w:w="2127"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型号</w:t>
            </w:r>
          </w:p>
        </w:tc>
        <w:tc>
          <w:tcPr>
            <w:tcW w:w="850"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数量（套）</w:t>
            </w:r>
          </w:p>
        </w:tc>
        <w:tc>
          <w:tcPr>
            <w:tcW w:w="1701" w:type="dxa"/>
            <w:vAlign w:val="center"/>
          </w:tcPr>
          <w:p>
            <w:pPr>
              <w:spacing w:line="240" w:lineRule="exact"/>
              <w:jc w:val="center"/>
              <w:rPr>
                <w:rFonts w:hint="eastAsia" w:ascii="微软雅黑" w:hAnsi="微软雅黑" w:eastAsia="微软雅黑"/>
                <w:b/>
                <w:bCs/>
                <w:sz w:val="18"/>
                <w:szCs w:val="18"/>
              </w:rPr>
            </w:pPr>
            <w:r>
              <w:rPr>
                <w:rFonts w:hint="eastAsia" w:ascii="微软雅黑" w:hAnsi="微软雅黑" w:eastAsia="微软雅黑"/>
                <w:b/>
                <w:bCs/>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restart"/>
            <w:vAlign w:val="center"/>
          </w:tcPr>
          <w:p>
            <w:pPr>
              <w:spacing w:line="240" w:lineRule="exact"/>
              <w:jc w:val="center"/>
              <w:rPr>
                <w:rFonts w:eastAsia="文鼎大标宋"/>
                <w:sz w:val="18"/>
                <w:szCs w:val="18"/>
              </w:rPr>
            </w:pPr>
            <w:r>
              <w:rPr>
                <w:rFonts w:eastAsia="文鼎大标宋"/>
                <w:sz w:val="18"/>
                <w:szCs w:val="18"/>
              </w:rPr>
              <w:t>生</w:t>
            </w:r>
          </w:p>
          <w:p>
            <w:pPr>
              <w:spacing w:line="240" w:lineRule="exact"/>
              <w:jc w:val="center"/>
              <w:rPr>
                <w:rFonts w:eastAsia="文鼎大标宋"/>
                <w:sz w:val="18"/>
                <w:szCs w:val="18"/>
              </w:rPr>
            </w:pPr>
            <w:r>
              <w:rPr>
                <w:rFonts w:eastAsia="文鼎大标宋"/>
                <w:sz w:val="18"/>
                <w:szCs w:val="18"/>
              </w:rPr>
              <w:t>态</w:t>
            </w:r>
          </w:p>
          <w:p>
            <w:pPr>
              <w:spacing w:line="240" w:lineRule="exact"/>
              <w:jc w:val="center"/>
              <w:rPr>
                <w:rFonts w:hint="eastAsia" w:eastAsia="文鼎大标宋"/>
                <w:sz w:val="18"/>
                <w:szCs w:val="18"/>
              </w:rPr>
            </w:pPr>
            <w:r>
              <w:rPr>
                <w:rFonts w:hint="eastAsia" w:eastAsia="文鼎大标宋"/>
                <w:sz w:val="18"/>
                <w:szCs w:val="18"/>
              </w:rPr>
              <w:t>环</w:t>
            </w:r>
          </w:p>
          <w:p>
            <w:pPr>
              <w:spacing w:line="240" w:lineRule="exact"/>
              <w:jc w:val="center"/>
              <w:rPr>
                <w:rFonts w:hint="eastAsia" w:eastAsia="文鼎大标宋"/>
                <w:sz w:val="18"/>
                <w:szCs w:val="18"/>
              </w:rPr>
            </w:pPr>
            <w:r>
              <w:rPr>
                <w:rFonts w:hint="eastAsia" w:eastAsia="文鼎大标宋"/>
                <w:sz w:val="18"/>
                <w:szCs w:val="18"/>
              </w:rPr>
              <w:t>境</w:t>
            </w:r>
          </w:p>
          <w:p>
            <w:pPr>
              <w:spacing w:line="240" w:lineRule="exact"/>
              <w:jc w:val="center"/>
              <w:rPr>
                <w:rFonts w:hint="eastAsia" w:eastAsia="文鼎大标宋"/>
                <w:sz w:val="18"/>
                <w:szCs w:val="18"/>
              </w:rPr>
            </w:pPr>
            <w:r>
              <w:rPr>
                <w:rFonts w:hint="eastAsia" w:eastAsia="文鼎大标宋"/>
                <w:sz w:val="18"/>
                <w:szCs w:val="18"/>
              </w:rPr>
              <w:t>自</w:t>
            </w:r>
          </w:p>
          <w:p>
            <w:pPr>
              <w:spacing w:line="240" w:lineRule="exact"/>
              <w:jc w:val="center"/>
              <w:rPr>
                <w:rFonts w:hint="eastAsia" w:eastAsia="文鼎大标宋"/>
                <w:sz w:val="18"/>
                <w:szCs w:val="18"/>
              </w:rPr>
            </w:pPr>
            <w:r>
              <w:rPr>
                <w:rFonts w:hint="eastAsia" w:eastAsia="文鼎大标宋"/>
                <w:sz w:val="18"/>
                <w:szCs w:val="18"/>
              </w:rPr>
              <w:t>动</w:t>
            </w:r>
          </w:p>
          <w:p>
            <w:pPr>
              <w:spacing w:line="240" w:lineRule="exact"/>
              <w:jc w:val="center"/>
              <w:rPr>
                <w:rFonts w:hint="eastAsia" w:eastAsia="文鼎大标宋"/>
                <w:sz w:val="18"/>
                <w:szCs w:val="18"/>
              </w:rPr>
            </w:pPr>
            <w:r>
              <w:rPr>
                <w:rFonts w:hint="eastAsia" w:eastAsia="文鼎大标宋"/>
                <w:sz w:val="18"/>
                <w:szCs w:val="18"/>
              </w:rPr>
              <w:t>监</w:t>
            </w:r>
          </w:p>
          <w:p>
            <w:pPr>
              <w:spacing w:line="240" w:lineRule="exact"/>
              <w:jc w:val="center"/>
              <w:rPr>
                <w:rFonts w:hint="eastAsia" w:eastAsia="文鼎大标宋"/>
                <w:sz w:val="18"/>
                <w:szCs w:val="18"/>
              </w:rPr>
            </w:pPr>
            <w:r>
              <w:rPr>
                <w:rFonts w:hint="eastAsia" w:eastAsia="文鼎大标宋"/>
                <w:sz w:val="18"/>
                <w:szCs w:val="18"/>
              </w:rPr>
              <w:t>测</w:t>
            </w:r>
          </w:p>
          <w:p>
            <w:pPr>
              <w:spacing w:line="240" w:lineRule="exact"/>
              <w:jc w:val="center"/>
              <w:rPr>
                <w:rFonts w:hint="eastAsia" w:eastAsia="文鼎大标宋"/>
                <w:sz w:val="18"/>
                <w:szCs w:val="18"/>
              </w:rPr>
            </w:pPr>
            <w:r>
              <w:rPr>
                <w:rFonts w:hint="eastAsia" w:eastAsia="文鼎大标宋"/>
                <w:sz w:val="18"/>
                <w:szCs w:val="18"/>
              </w:rPr>
              <w:t>站</w:t>
            </w:r>
          </w:p>
          <w:p>
            <w:pPr>
              <w:spacing w:line="240" w:lineRule="exact"/>
              <w:jc w:val="center"/>
              <w:rPr>
                <w:rFonts w:hint="eastAsia" w:eastAsia="文鼎大标宋"/>
                <w:sz w:val="18"/>
                <w:szCs w:val="18"/>
              </w:rPr>
            </w:pPr>
            <w:r>
              <w:rPr>
                <w:rFonts w:hint="eastAsia" w:eastAsia="文鼎大标宋"/>
                <w:sz w:val="18"/>
                <w:szCs w:val="18"/>
              </w:rPr>
              <w:t>（</w:t>
            </w:r>
            <w:r>
              <w:rPr>
                <w:rFonts w:eastAsia="文鼎大标宋"/>
                <w:sz w:val="18"/>
                <w:szCs w:val="18"/>
              </w:rPr>
              <w:t>云谷寺、汤泉、西海、松谷、钓桥、浮溪、五里桥</w:t>
            </w:r>
            <w:r>
              <w:rPr>
                <w:rFonts w:eastAsia="仿宋_GB2312"/>
                <w:sz w:val="32"/>
                <w:szCs w:val="32"/>
              </w:rPr>
              <w:t>）</w:t>
            </w:r>
          </w:p>
          <w:p>
            <w:pPr>
              <w:spacing w:line="240" w:lineRule="exact"/>
              <w:jc w:val="center"/>
              <w:rPr>
                <w:rFonts w:hint="eastAsia"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1</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控制器Cube</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中控Cube</w:t>
            </w:r>
          </w:p>
        </w:tc>
        <w:tc>
          <w:tcPr>
            <w:tcW w:w="2127" w:type="dxa"/>
            <w:vAlign w:val="center"/>
          </w:tcPr>
          <w:p>
            <w:pPr>
              <w:spacing w:line="240" w:lineRule="exact"/>
              <w:jc w:val="center"/>
              <w:rPr>
                <w:rFonts w:ascii="微软雅黑" w:hAnsi="微软雅黑" w:eastAsia="微软雅黑"/>
                <w:sz w:val="18"/>
                <w:szCs w:val="18"/>
              </w:rPr>
            </w:pPr>
            <w:r>
              <w:rPr>
                <w:rFonts w:ascii="微软雅黑" w:hAnsi="微软雅黑" w:eastAsia="微软雅黑"/>
                <w:sz w:val="18"/>
                <w:szCs w:val="18"/>
              </w:rPr>
              <w:t>FECO-CUBE</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（不含内部传感器）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土壤485Cube</w:t>
            </w:r>
          </w:p>
        </w:tc>
        <w:tc>
          <w:tcPr>
            <w:tcW w:w="2127" w:type="dxa"/>
            <w:vAlign w:val="center"/>
          </w:tcPr>
          <w:p>
            <w:pPr>
              <w:spacing w:line="240" w:lineRule="exact"/>
              <w:jc w:val="center"/>
              <w:rPr>
                <w:rFonts w:ascii="微软雅黑" w:hAnsi="微软雅黑" w:eastAsia="微软雅黑"/>
                <w:sz w:val="18"/>
                <w:szCs w:val="18"/>
              </w:rPr>
            </w:pPr>
            <w:r>
              <w:rPr>
                <w:rFonts w:ascii="微软雅黑" w:hAnsi="微软雅黑" w:eastAsia="微软雅黑"/>
                <w:sz w:val="18"/>
                <w:szCs w:val="18"/>
              </w:rPr>
              <w:t>FECO-CUBE</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（不含内部传感器）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远置485Cube</w:t>
            </w:r>
          </w:p>
        </w:tc>
        <w:tc>
          <w:tcPr>
            <w:tcW w:w="2127" w:type="dxa"/>
            <w:vAlign w:val="center"/>
          </w:tcPr>
          <w:p>
            <w:pPr>
              <w:spacing w:line="240" w:lineRule="exact"/>
              <w:jc w:val="center"/>
              <w:rPr>
                <w:rFonts w:ascii="微软雅黑" w:hAnsi="微软雅黑" w:eastAsia="微软雅黑"/>
                <w:sz w:val="18"/>
                <w:szCs w:val="18"/>
              </w:rPr>
            </w:pPr>
            <w:r>
              <w:rPr>
                <w:rFonts w:ascii="微软雅黑" w:hAnsi="微软雅黑" w:eastAsia="微软雅黑"/>
                <w:sz w:val="18"/>
                <w:szCs w:val="18"/>
              </w:rPr>
              <w:t>FECO-CUBE</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（不含内部传感器）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空气Cube</w:t>
            </w:r>
          </w:p>
        </w:tc>
        <w:tc>
          <w:tcPr>
            <w:tcW w:w="2127" w:type="dxa"/>
            <w:vAlign w:val="center"/>
          </w:tcPr>
          <w:p>
            <w:pPr>
              <w:spacing w:line="240" w:lineRule="exact"/>
              <w:jc w:val="center"/>
              <w:rPr>
                <w:rFonts w:ascii="微软雅黑" w:hAnsi="微软雅黑" w:eastAsia="微软雅黑"/>
                <w:sz w:val="18"/>
                <w:szCs w:val="18"/>
              </w:rPr>
            </w:pPr>
            <w:r>
              <w:rPr>
                <w:rFonts w:ascii="微软雅黑" w:hAnsi="微软雅黑" w:eastAsia="微软雅黑"/>
                <w:sz w:val="18"/>
                <w:szCs w:val="18"/>
              </w:rPr>
              <w:t>FECO-CUBE</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1</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（不含内部传感器）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2</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空气模块</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PM2.5、PM10</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F-KM-PM2.5/PM10</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O3</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F-KM-O3</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CO</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F-KM-CO</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NO2</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F-KM-NO2</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SO2</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F-KM-</w:t>
            </w:r>
            <w:r>
              <w:rPr>
                <w:rFonts w:ascii="微软雅黑" w:hAnsi="微软雅黑" w:eastAsia="微软雅黑"/>
                <w:sz w:val="18"/>
                <w:szCs w:val="18"/>
              </w:rPr>
              <w:t>S</w:t>
            </w:r>
            <w:r>
              <w:rPr>
                <w:rFonts w:hint="eastAsia" w:ascii="微软雅黑" w:hAnsi="微软雅黑" w:eastAsia="微软雅黑"/>
                <w:sz w:val="18"/>
                <w:szCs w:val="18"/>
              </w:rPr>
              <w:t>O2</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3</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土壤模块</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土壤温度传感器</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F-TM-WD</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含壤中和表层两个测量点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土壤PH</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F-TM-PH</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94"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土壤湿度传感器</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F-TM-SD</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hint="eastAsia" w:ascii="微软雅黑" w:hAnsi="微软雅黑" w:eastAsia="微软雅黑"/>
                <w:sz w:val="15"/>
                <w:szCs w:val="15"/>
              </w:rPr>
            </w:pPr>
            <w:r>
              <w:rPr>
                <w:rFonts w:hint="eastAsia" w:ascii="微软雅黑" w:hAnsi="微软雅黑" w:eastAsia="微软雅黑"/>
                <w:sz w:val="15"/>
                <w:szCs w:val="15"/>
              </w:rPr>
              <w:t>含壤中和表层两个测量点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盐分/电导率</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F-TM-YF/DDL</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4</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气象模块</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大气温度</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F-QM-WD</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大气湿度</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F-QM-SD</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风力</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F-QM-FL</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风向</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F-QM-FX</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大气压力</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F-QM-YL</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降雨量</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F-QM-JYL</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5</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光合模块</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CO2</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F-GM-CO2</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O2</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F-GM-O2</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光照度</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F-GM-GZD</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太阳总辐射</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F-GM-ZFS</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5</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6</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特征模块</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负氧离子</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F-ZM-FYLZ</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ascii="微软雅黑" w:hAnsi="微软雅黑" w:eastAsia="微软雅黑"/>
                <w:sz w:val="18"/>
                <w:szCs w:val="18"/>
              </w:rPr>
            </w:pPr>
          </w:p>
        </w:tc>
        <w:tc>
          <w:tcPr>
            <w:tcW w:w="1276" w:type="dxa"/>
            <w:vMerge w:val="continue"/>
            <w:vAlign w:val="center"/>
          </w:tcPr>
          <w:p>
            <w:pPr>
              <w:spacing w:line="240" w:lineRule="exact"/>
              <w:jc w:val="center"/>
              <w:rPr>
                <w:rFonts w:ascii="微软雅黑" w:hAnsi="微软雅黑" w:eastAsia="微软雅黑"/>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噪声</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F-ZM-ZS</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6</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ascii="微软雅黑" w:hAnsi="微软雅黑" w:eastAsia="微软雅黑"/>
                <w:sz w:val="18"/>
                <w:szCs w:val="18"/>
              </w:rPr>
            </w:pPr>
          </w:p>
        </w:tc>
        <w:tc>
          <w:tcPr>
            <w:tcW w:w="1276" w:type="dxa"/>
            <w:vMerge w:val="continue"/>
            <w:vAlign w:val="center"/>
          </w:tcPr>
          <w:p>
            <w:pPr>
              <w:spacing w:line="240" w:lineRule="exact"/>
              <w:jc w:val="center"/>
              <w:rPr>
                <w:rFonts w:ascii="微软雅黑" w:hAnsi="微软雅黑" w:eastAsia="微软雅黑"/>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摄像头</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F-ZM-</w:t>
            </w:r>
            <w:r>
              <w:rPr>
                <w:rFonts w:ascii="微软雅黑" w:hAnsi="微软雅黑" w:eastAsia="微软雅黑"/>
                <w:sz w:val="18"/>
                <w:szCs w:val="18"/>
              </w:rPr>
              <w:t>SXT</w:t>
            </w:r>
          </w:p>
        </w:tc>
        <w:tc>
          <w:tcPr>
            <w:tcW w:w="850" w:type="dxa"/>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2</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7</w:t>
            </w:r>
          </w:p>
        </w:tc>
        <w:tc>
          <w:tcPr>
            <w:tcW w:w="1276" w:type="dxa"/>
            <w:vMerge w:val="restart"/>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供电部分</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防水电源</w:t>
            </w:r>
          </w:p>
        </w:tc>
        <w:tc>
          <w:tcPr>
            <w:tcW w:w="2127"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24VDC</w:t>
            </w: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漏电保护器</w:t>
            </w:r>
          </w:p>
        </w:tc>
        <w:tc>
          <w:tcPr>
            <w:tcW w:w="2127" w:type="dxa"/>
            <w:vAlign w:val="center"/>
          </w:tcPr>
          <w:p>
            <w:pPr>
              <w:spacing w:line="240" w:lineRule="exact"/>
              <w:jc w:val="center"/>
              <w:rPr>
                <w:rFonts w:ascii="微软雅黑" w:hAnsi="微软雅黑" w:eastAsia="微软雅黑"/>
                <w:sz w:val="18"/>
                <w:szCs w:val="18"/>
              </w:rPr>
            </w:pP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Merge w:val="continue"/>
            <w:vAlign w:val="center"/>
          </w:tcPr>
          <w:p>
            <w:pPr>
              <w:spacing w:line="240" w:lineRule="exact"/>
              <w:jc w:val="center"/>
              <w:rPr>
                <w:rFonts w:eastAsia="文鼎大标宋"/>
                <w:sz w:val="18"/>
                <w:szCs w:val="18"/>
              </w:rPr>
            </w:pPr>
          </w:p>
        </w:tc>
        <w:tc>
          <w:tcPr>
            <w:tcW w:w="1276" w:type="dxa"/>
            <w:vMerge w:val="continue"/>
            <w:vAlign w:val="center"/>
          </w:tcPr>
          <w:p>
            <w:pPr>
              <w:spacing w:line="240" w:lineRule="exact"/>
              <w:jc w:val="center"/>
              <w:rPr>
                <w:rFonts w:eastAsia="文鼎大标宋"/>
                <w:sz w:val="18"/>
                <w:szCs w:val="18"/>
              </w:rPr>
            </w:pP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内部连接电缆</w:t>
            </w:r>
          </w:p>
        </w:tc>
        <w:tc>
          <w:tcPr>
            <w:tcW w:w="2127" w:type="dxa"/>
            <w:vAlign w:val="center"/>
          </w:tcPr>
          <w:p>
            <w:pPr>
              <w:spacing w:line="240" w:lineRule="exact"/>
              <w:jc w:val="center"/>
              <w:rPr>
                <w:rFonts w:ascii="微软雅黑" w:hAnsi="微软雅黑" w:eastAsia="微软雅黑"/>
                <w:sz w:val="18"/>
                <w:szCs w:val="18"/>
              </w:rPr>
            </w:pP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8</w:t>
            </w:r>
          </w:p>
        </w:tc>
        <w:tc>
          <w:tcPr>
            <w:tcW w:w="1276"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数据校准</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数据校准模块</w:t>
            </w:r>
          </w:p>
        </w:tc>
        <w:tc>
          <w:tcPr>
            <w:tcW w:w="2127" w:type="dxa"/>
            <w:vAlign w:val="center"/>
          </w:tcPr>
          <w:p>
            <w:pPr>
              <w:spacing w:line="240" w:lineRule="exact"/>
              <w:jc w:val="center"/>
              <w:rPr>
                <w:rFonts w:ascii="微软雅黑" w:hAnsi="微软雅黑" w:eastAsia="微软雅黑"/>
                <w:sz w:val="18"/>
                <w:szCs w:val="18"/>
              </w:rPr>
            </w:pP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9</w:t>
            </w:r>
          </w:p>
        </w:tc>
        <w:tc>
          <w:tcPr>
            <w:tcW w:w="1276"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数据安全</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数据安全模块</w:t>
            </w:r>
          </w:p>
        </w:tc>
        <w:tc>
          <w:tcPr>
            <w:tcW w:w="2127" w:type="dxa"/>
            <w:vAlign w:val="center"/>
          </w:tcPr>
          <w:p>
            <w:pPr>
              <w:spacing w:line="240" w:lineRule="exact"/>
              <w:jc w:val="center"/>
              <w:rPr>
                <w:rFonts w:ascii="微软雅黑" w:hAnsi="微软雅黑" w:eastAsia="微软雅黑"/>
                <w:sz w:val="18"/>
                <w:szCs w:val="18"/>
              </w:rPr>
            </w:pPr>
          </w:p>
        </w:tc>
        <w:tc>
          <w:tcPr>
            <w:tcW w:w="850" w:type="dxa"/>
            <w:vAlign w:val="center"/>
          </w:tcPr>
          <w:p>
            <w:pPr>
              <w:spacing w:line="240" w:lineRule="exact"/>
              <w:jc w:val="center"/>
              <w:rPr>
                <w:rFonts w:hint="eastAsia" w:ascii="宋体" w:hAnsi="宋体"/>
                <w:color w:val="000000"/>
                <w:sz w:val="18"/>
                <w:szCs w:val="18"/>
                <w:lang w:bidi="ar"/>
              </w:rPr>
            </w:pPr>
            <w:r>
              <w:rPr>
                <w:rFonts w:hint="eastAsia" w:ascii="宋体" w:hAnsi="宋体"/>
                <w:color w:val="000000"/>
                <w:sz w:val="18"/>
                <w:szCs w:val="18"/>
                <w:lang w:bidi="ar"/>
              </w:rPr>
              <w:t>7</w:t>
            </w:r>
          </w:p>
        </w:tc>
        <w:tc>
          <w:tcPr>
            <w:tcW w:w="1701" w:type="dxa"/>
            <w:vAlign w:val="center"/>
          </w:tcPr>
          <w:p>
            <w:pPr>
              <w:spacing w:line="240" w:lineRule="exact"/>
              <w:jc w:val="center"/>
              <w:rPr>
                <w:rFonts w:ascii="微软雅黑" w:hAnsi="微软雅黑" w:eastAsia="微软雅黑"/>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3" w:hRule="atLeast"/>
          <w:jc w:val="center"/>
        </w:trPr>
        <w:tc>
          <w:tcPr>
            <w:tcW w:w="704" w:type="dxa"/>
            <w:vMerge w:val="continue"/>
            <w:vAlign w:val="center"/>
          </w:tcPr>
          <w:p>
            <w:pPr>
              <w:spacing w:line="240" w:lineRule="exact"/>
              <w:jc w:val="center"/>
              <w:rPr>
                <w:rFonts w:eastAsia="文鼎大标宋"/>
                <w:sz w:val="18"/>
                <w:szCs w:val="18"/>
              </w:rPr>
            </w:pPr>
          </w:p>
        </w:tc>
        <w:tc>
          <w:tcPr>
            <w:tcW w:w="709"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10</w:t>
            </w:r>
          </w:p>
        </w:tc>
        <w:tc>
          <w:tcPr>
            <w:tcW w:w="1276"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网络服务</w:t>
            </w:r>
          </w:p>
        </w:tc>
        <w:tc>
          <w:tcPr>
            <w:tcW w:w="1842" w:type="dxa"/>
            <w:vAlign w:val="center"/>
          </w:tcPr>
          <w:p>
            <w:pPr>
              <w:spacing w:line="240" w:lineRule="exact"/>
              <w:jc w:val="center"/>
              <w:rPr>
                <w:rFonts w:hint="eastAsia" w:ascii="微软雅黑" w:hAnsi="微软雅黑" w:eastAsia="微软雅黑"/>
                <w:sz w:val="18"/>
                <w:szCs w:val="18"/>
              </w:rPr>
            </w:pPr>
            <w:r>
              <w:rPr>
                <w:rFonts w:hint="eastAsia" w:ascii="微软雅黑" w:hAnsi="微软雅黑" w:eastAsia="微软雅黑"/>
                <w:sz w:val="18"/>
                <w:szCs w:val="18"/>
              </w:rPr>
              <w:t>视频网络</w:t>
            </w:r>
          </w:p>
        </w:tc>
        <w:tc>
          <w:tcPr>
            <w:tcW w:w="2127" w:type="dxa"/>
            <w:vAlign w:val="center"/>
          </w:tcPr>
          <w:p>
            <w:pPr>
              <w:spacing w:line="240" w:lineRule="exact"/>
              <w:jc w:val="center"/>
              <w:rPr>
                <w:rFonts w:ascii="微软雅黑" w:hAnsi="微软雅黑" w:eastAsia="微软雅黑"/>
                <w:sz w:val="18"/>
                <w:szCs w:val="18"/>
              </w:rPr>
            </w:pPr>
          </w:p>
        </w:tc>
        <w:tc>
          <w:tcPr>
            <w:tcW w:w="850" w:type="dxa"/>
            <w:tcBorders>
              <w:top w:val="single" w:color="000000" w:sz="4" w:space="0"/>
              <w:bottom w:val="single" w:color="000000" w:sz="4" w:space="0"/>
            </w:tcBorders>
            <w:vAlign w:val="center"/>
          </w:tcPr>
          <w:p>
            <w:pPr>
              <w:spacing w:line="240" w:lineRule="exact"/>
              <w:jc w:val="center"/>
              <w:rPr>
                <w:rFonts w:ascii="宋体" w:hAnsi="宋体"/>
                <w:color w:val="000000"/>
                <w:sz w:val="18"/>
                <w:szCs w:val="18"/>
                <w:lang w:bidi="ar"/>
              </w:rPr>
            </w:pPr>
            <w:r>
              <w:rPr>
                <w:rFonts w:ascii="宋体" w:hAnsi="宋体"/>
                <w:color w:val="000000"/>
                <w:sz w:val="18"/>
                <w:szCs w:val="18"/>
                <w:lang w:bidi="ar"/>
              </w:rPr>
              <w:t>2</w:t>
            </w:r>
          </w:p>
        </w:tc>
        <w:tc>
          <w:tcPr>
            <w:tcW w:w="1701" w:type="dxa"/>
            <w:tcBorders>
              <w:top w:val="single" w:color="000000" w:sz="4" w:space="0"/>
              <w:bottom w:val="single" w:color="000000" w:sz="4" w:space="0"/>
            </w:tcBorders>
            <w:vAlign w:val="center"/>
          </w:tcPr>
          <w:p>
            <w:pPr>
              <w:spacing w:line="240" w:lineRule="exact"/>
              <w:jc w:val="center"/>
              <w:rPr>
                <w:rFonts w:eastAsia="文鼎大标宋"/>
                <w:sz w:val="18"/>
                <w:szCs w:val="18"/>
              </w:rPr>
            </w:pPr>
          </w:p>
        </w:tc>
      </w:tr>
    </w:tbl>
    <w:p/>
    <w:p>
      <w:pPr>
        <w:pStyle w:val="53"/>
        <w:tabs>
          <w:tab w:val="left" w:pos="0"/>
          <w:tab w:val="left" w:pos="993"/>
          <w:tab w:val="left" w:pos="1134"/>
        </w:tabs>
        <w:ind w:firstLine="640"/>
        <w:rPr>
          <w:rFonts w:hint="eastAsia"/>
        </w:rPr>
      </w:pPr>
    </w:p>
    <w:p>
      <w:pPr>
        <w:snapToGrid w:val="0"/>
        <w:spacing w:line="440" w:lineRule="exact"/>
        <w:ind w:firstLine="420" w:firstLineChars="200"/>
        <w:rPr>
          <w:rFonts w:hint="eastAsia"/>
          <w:bCs/>
          <w:szCs w:val="21"/>
        </w:rPr>
      </w:pPr>
      <w:bookmarkStart w:id="3" w:name="_Toc103703891"/>
      <w:bookmarkEnd w:id="3"/>
      <w:r>
        <w:rPr>
          <w:rFonts w:hint="eastAsia"/>
          <w:bCs/>
          <w:szCs w:val="21"/>
        </w:rPr>
        <w:t>2、一个污水在线监测站（温泉）</w:t>
      </w:r>
    </w:p>
    <w:p>
      <w:pPr>
        <w:pStyle w:val="53"/>
        <w:ind w:firstLine="640"/>
        <w:rPr>
          <w:rFonts w:ascii="Times New Roman" w:eastAsia="宋体"/>
        </w:rPr>
      </w:pPr>
    </w:p>
    <w:tbl>
      <w:tblPr>
        <w:tblStyle w:val="14"/>
        <w:tblW w:w="8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6"/>
        <w:gridCol w:w="1105"/>
        <w:gridCol w:w="1786"/>
        <w:gridCol w:w="2714"/>
        <w:gridCol w:w="15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jc w:val="center"/>
        </w:trPr>
        <w:tc>
          <w:tcPr>
            <w:tcW w:w="1606" w:type="dxa"/>
            <w:vAlign w:val="center"/>
          </w:tcPr>
          <w:p>
            <w:pPr>
              <w:widowControl/>
              <w:jc w:val="center"/>
              <w:rPr>
                <w:b/>
                <w:bCs/>
                <w:sz w:val="18"/>
                <w:szCs w:val="18"/>
              </w:rPr>
            </w:pPr>
            <w:r>
              <w:rPr>
                <w:b/>
                <w:bCs/>
                <w:sz w:val="18"/>
                <w:szCs w:val="18"/>
              </w:rPr>
              <w:t>子站名称</w:t>
            </w:r>
          </w:p>
        </w:tc>
        <w:tc>
          <w:tcPr>
            <w:tcW w:w="1105" w:type="dxa"/>
            <w:vAlign w:val="center"/>
          </w:tcPr>
          <w:p>
            <w:pPr>
              <w:widowControl/>
              <w:jc w:val="center"/>
              <w:rPr>
                <w:b/>
                <w:bCs/>
                <w:sz w:val="18"/>
                <w:szCs w:val="18"/>
              </w:rPr>
            </w:pPr>
            <w:r>
              <w:rPr>
                <w:b/>
                <w:bCs/>
                <w:sz w:val="18"/>
                <w:szCs w:val="18"/>
              </w:rPr>
              <w:t>序号</w:t>
            </w:r>
          </w:p>
        </w:tc>
        <w:tc>
          <w:tcPr>
            <w:tcW w:w="1786" w:type="dxa"/>
            <w:vAlign w:val="center"/>
          </w:tcPr>
          <w:p>
            <w:pPr>
              <w:widowControl/>
              <w:jc w:val="center"/>
              <w:rPr>
                <w:b/>
                <w:bCs/>
                <w:sz w:val="18"/>
                <w:szCs w:val="18"/>
              </w:rPr>
            </w:pPr>
            <w:r>
              <w:rPr>
                <w:b/>
                <w:bCs/>
                <w:sz w:val="18"/>
                <w:szCs w:val="18"/>
              </w:rPr>
              <w:t>类别</w:t>
            </w:r>
          </w:p>
        </w:tc>
        <w:tc>
          <w:tcPr>
            <w:tcW w:w="2714" w:type="dxa"/>
            <w:vAlign w:val="center"/>
          </w:tcPr>
          <w:p>
            <w:pPr>
              <w:widowControl/>
              <w:jc w:val="center"/>
              <w:rPr>
                <w:b/>
                <w:bCs/>
                <w:sz w:val="18"/>
                <w:szCs w:val="18"/>
              </w:rPr>
            </w:pPr>
            <w:r>
              <w:rPr>
                <w:b/>
                <w:bCs/>
                <w:sz w:val="18"/>
                <w:szCs w:val="18"/>
              </w:rPr>
              <w:t>类别</w:t>
            </w:r>
          </w:p>
        </w:tc>
        <w:tc>
          <w:tcPr>
            <w:tcW w:w="1505" w:type="dxa"/>
            <w:vAlign w:val="center"/>
          </w:tcPr>
          <w:p>
            <w:pPr>
              <w:widowControl/>
              <w:jc w:val="center"/>
              <w:rPr>
                <w:b/>
                <w:bCs/>
                <w:sz w:val="18"/>
                <w:szCs w:val="18"/>
              </w:rPr>
            </w:pPr>
            <w:r>
              <w:rPr>
                <w:b/>
                <w:bCs/>
                <w:sz w:val="18"/>
                <w:szCs w:val="18"/>
              </w:rPr>
              <w:t>设备厂家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2" w:hRule="atLeast"/>
          <w:jc w:val="center"/>
        </w:trPr>
        <w:tc>
          <w:tcPr>
            <w:tcW w:w="1606" w:type="dxa"/>
            <w:vMerge w:val="restart"/>
            <w:vAlign w:val="center"/>
          </w:tcPr>
          <w:p>
            <w:pPr>
              <w:widowControl/>
              <w:jc w:val="center"/>
              <w:rPr>
                <w:bCs/>
                <w:sz w:val="18"/>
                <w:szCs w:val="18"/>
              </w:rPr>
            </w:pPr>
            <w:r>
              <w:rPr>
                <w:bCs/>
                <w:sz w:val="18"/>
                <w:szCs w:val="18"/>
              </w:rPr>
              <w:t>温泉污水在线监测站点</w:t>
            </w:r>
          </w:p>
        </w:tc>
        <w:tc>
          <w:tcPr>
            <w:tcW w:w="1105" w:type="dxa"/>
            <w:vAlign w:val="center"/>
          </w:tcPr>
          <w:p>
            <w:pPr>
              <w:widowControl/>
              <w:jc w:val="center"/>
              <w:rPr>
                <w:bCs/>
                <w:sz w:val="18"/>
                <w:szCs w:val="18"/>
              </w:rPr>
            </w:pPr>
            <w:r>
              <w:rPr>
                <w:bCs/>
                <w:sz w:val="18"/>
                <w:szCs w:val="18"/>
              </w:rPr>
              <w:t>1</w:t>
            </w:r>
          </w:p>
        </w:tc>
        <w:tc>
          <w:tcPr>
            <w:tcW w:w="1786" w:type="dxa"/>
            <w:vMerge w:val="restart"/>
            <w:vAlign w:val="center"/>
          </w:tcPr>
          <w:p>
            <w:pPr>
              <w:widowControl/>
              <w:jc w:val="center"/>
              <w:rPr>
                <w:bCs/>
                <w:sz w:val="18"/>
                <w:szCs w:val="18"/>
              </w:rPr>
            </w:pPr>
          </w:p>
        </w:tc>
        <w:tc>
          <w:tcPr>
            <w:tcW w:w="2714" w:type="dxa"/>
            <w:vAlign w:val="center"/>
          </w:tcPr>
          <w:p>
            <w:pPr>
              <w:widowControl/>
              <w:jc w:val="center"/>
              <w:rPr>
                <w:bCs/>
                <w:sz w:val="18"/>
                <w:szCs w:val="18"/>
              </w:rPr>
            </w:pPr>
            <w:r>
              <w:rPr>
                <w:bCs/>
                <w:sz w:val="18"/>
                <w:szCs w:val="18"/>
              </w:rPr>
              <w:t>pH</w:t>
            </w:r>
          </w:p>
        </w:tc>
        <w:tc>
          <w:tcPr>
            <w:tcW w:w="1505" w:type="dxa"/>
            <w:vAlign w:val="center"/>
          </w:tcPr>
          <w:p>
            <w:pPr>
              <w:widowControl/>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7" w:hRule="atLeast"/>
          <w:jc w:val="center"/>
        </w:trPr>
        <w:tc>
          <w:tcPr>
            <w:tcW w:w="1606" w:type="dxa"/>
            <w:vMerge w:val="continue"/>
            <w:vAlign w:val="center"/>
          </w:tcPr>
          <w:p>
            <w:pPr>
              <w:widowControl/>
              <w:jc w:val="center"/>
              <w:rPr>
                <w:bCs/>
                <w:sz w:val="18"/>
                <w:szCs w:val="18"/>
              </w:rPr>
            </w:pPr>
          </w:p>
        </w:tc>
        <w:tc>
          <w:tcPr>
            <w:tcW w:w="1105" w:type="dxa"/>
            <w:vAlign w:val="center"/>
          </w:tcPr>
          <w:p>
            <w:pPr>
              <w:widowControl/>
              <w:jc w:val="center"/>
              <w:rPr>
                <w:bCs/>
                <w:sz w:val="18"/>
                <w:szCs w:val="18"/>
              </w:rPr>
            </w:pPr>
            <w:r>
              <w:rPr>
                <w:bCs/>
                <w:sz w:val="18"/>
                <w:szCs w:val="18"/>
              </w:rPr>
              <w:t>2</w:t>
            </w:r>
          </w:p>
        </w:tc>
        <w:tc>
          <w:tcPr>
            <w:tcW w:w="1786" w:type="dxa"/>
            <w:vMerge w:val="continue"/>
            <w:vAlign w:val="center"/>
          </w:tcPr>
          <w:p>
            <w:pPr>
              <w:widowControl/>
              <w:jc w:val="center"/>
              <w:rPr>
                <w:bCs/>
                <w:sz w:val="18"/>
                <w:szCs w:val="18"/>
              </w:rPr>
            </w:pPr>
          </w:p>
        </w:tc>
        <w:tc>
          <w:tcPr>
            <w:tcW w:w="2714" w:type="dxa"/>
            <w:vAlign w:val="center"/>
          </w:tcPr>
          <w:p>
            <w:pPr>
              <w:widowControl/>
              <w:jc w:val="center"/>
              <w:rPr>
                <w:bCs/>
                <w:sz w:val="18"/>
                <w:szCs w:val="18"/>
              </w:rPr>
            </w:pPr>
            <w:r>
              <w:rPr>
                <w:bCs/>
                <w:sz w:val="18"/>
                <w:szCs w:val="18"/>
              </w:rPr>
              <w:t>溶解氧</w:t>
            </w:r>
          </w:p>
        </w:tc>
        <w:tc>
          <w:tcPr>
            <w:tcW w:w="1505" w:type="dxa"/>
            <w:vAlign w:val="center"/>
          </w:tcPr>
          <w:p>
            <w:pPr>
              <w:widowControl/>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jc w:val="center"/>
        </w:trPr>
        <w:tc>
          <w:tcPr>
            <w:tcW w:w="1606" w:type="dxa"/>
            <w:vMerge w:val="continue"/>
            <w:vAlign w:val="center"/>
          </w:tcPr>
          <w:p>
            <w:pPr>
              <w:widowControl/>
              <w:jc w:val="center"/>
              <w:rPr>
                <w:bCs/>
                <w:sz w:val="18"/>
                <w:szCs w:val="18"/>
              </w:rPr>
            </w:pPr>
          </w:p>
        </w:tc>
        <w:tc>
          <w:tcPr>
            <w:tcW w:w="1105" w:type="dxa"/>
            <w:vAlign w:val="center"/>
          </w:tcPr>
          <w:p>
            <w:pPr>
              <w:widowControl/>
              <w:jc w:val="center"/>
              <w:rPr>
                <w:bCs/>
                <w:sz w:val="18"/>
                <w:szCs w:val="18"/>
              </w:rPr>
            </w:pPr>
            <w:r>
              <w:rPr>
                <w:bCs/>
                <w:sz w:val="18"/>
                <w:szCs w:val="18"/>
              </w:rPr>
              <w:t>3</w:t>
            </w:r>
          </w:p>
        </w:tc>
        <w:tc>
          <w:tcPr>
            <w:tcW w:w="1786" w:type="dxa"/>
            <w:vMerge w:val="continue"/>
            <w:vAlign w:val="center"/>
          </w:tcPr>
          <w:p>
            <w:pPr>
              <w:widowControl/>
              <w:jc w:val="center"/>
              <w:rPr>
                <w:bCs/>
                <w:sz w:val="18"/>
                <w:szCs w:val="18"/>
              </w:rPr>
            </w:pPr>
          </w:p>
        </w:tc>
        <w:tc>
          <w:tcPr>
            <w:tcW w:w="2714" w:type="dxa"/>
            <w:vAlign w:val="center"/>
          </w:tcPr>
          <w:p>
            <w:pPr>
              <w:widowControl/>
              <w:jc w:val="center"/>
              <w:rPr>
                <w:bCs/>
                <w:sz w:val="18"/>
                <w:szCs w:val="18"/>
              </w:rPr>
            </w:pPr>
            <w:r>
              <w:rPr>
                <w:bCs/>
                <w:sz w:val="18"/>
                <w:szCs w:val="18"/>
              </w:rPr>
              <w:t>液位计+支架</w:t>
            </w:r>
          </w:p>
        </w:tc>
        <w:tc>
          <w:tcPr>
            <w:tcW w:w="1505" w:type="dxa"/>
            <w:vAlign w:val="center"/>
          </w:tcPr>
          <w:p>
            <w:pPr>
              <w:widowControl/>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9" w:hRule="atLeast"/>
          <w:jc w:val="center"/>
        </w:trPr>
        <w:tc>
          <w:tcPr>
            <w:tcW w:w="1606" w:type="dxa"/>
            <w:vMerge w:val="continue"/>
            <w:vAlign w:val="center"/>
          </w:tcPr>
          <w:p>
            <w:pPr>
              <w:widowControl/>
              <w:jc w:val="center"/>
              <w:rPr>
                <w:bCs/>
                <w:sz w:val="18"/>
                <w:szCs w:val="18"/>
              </w:rPr>
            </w:pPr>
          </w:p>
        </w:tc>
        <w:tc>
          <w:tcPr>
            <w:tcW w:w="1105" w:type="dxa"/>
            <w:vAlign w:val="center"/>
          </w:tcPr>
          <w:p>
            <w:pPr>
              <w:widowControl/>
              <w:jc w:val="center"/>
              <w:rPr>
                <w:bCs/>
                <w:sz w:val="18"/>
                <w:szCs w:val="18"/>
              </w:rPr>
            </w:pPr>
            <w:r>
              <w:rPr>
                <w:bCs/>
                <w:sz w:val="18"/>
                <w:szCs w:val="18"/>
              </w:rPr>
              <w:t>4</w:t>
            </w:r>
          </w:p>
        </w:tc>
        <w:tc>
          <w:tcPr>
            <w:tcW w:w="1786" w:type="dxa"/>
            <w:vAlign w:val="center"/>
          </w:tcPr>
          <w:p>
            <w:pPr>
              <w:widowControl/>
              <w:jc w:val="center"/>
              <w:rPr>
                <w:bCs/>
                <w:sz w:val="18"/>
                <w:szCs w:val="18"/>
              </w:rPr>
            </w:pPr>
            <w:r>
              <w:rPr>
                <w:bCs/>
                <w:sz w:val="18"/>
                <w:szCs w:val="18"/>
              </w:rPr>
              <w:t>数据通信</w:t>
            </w:r>
          </w:p>
        </w:tc>
        <w:tc>
          <w:tcPr>
            <w:tcW w:w="2714" w:type="dxa"/>
            <w:vAlign w:val="center"/>
          </w:tcPr>
          <w:p>
            <w:pPr>
              <w:widowControl/>
              <w:jc w:val="center"/>
              <w:rPr>
                <w:bCs/>
                <w:sz w:val="18"/>
                <w:szCs w:val="18"/>
              </w:rPr>
            </w:pPr>
            <w:r>
              <w:rPr>
                <w:bCs/>
                <w:sz w:val="18"/>
                <w:szCs w:val="18"/>
              </w:rPr>
              <w:t>数据安全、通讯流量</w:t>
            </w:r>
          </w:p>
        </w:tc>
        <w:tc>
          <w:tcPr>
            <w:tcW w:w="1505" w:type="dxa"/>
            <w:vAlign w:val="center"/>
          </w:tcPr>
          <w:p>
            <w:pPr>
              <w:widowControl/>
              <w:jc w:val="cente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8" w:hRule="atLeast"/>
          <w:jc w:val="center"/>
        </w:trPr>
        <w:tc>
          <w:tcPr>
            <w:tcW w:w="1606" w:type="dxa"/>
            <w:vMerge w:val="continue"/>
            <w:vAlign w:val="center"/>
          </w:tcPr>
          <w:p>
            <w:pPr>
              <w:widowControl/>
              <w:jc w:val="center"/>
              <w:rPr>
                <w:bCs/>
                <w:sz w:val="18"/>
                <w:szCs w:val="18"/>
              </w:rPr>
            </w:pPr>
          </w:p>
        </w:tc>
        <w:tc>
          <w:tcPr>
            <w:tcW w:w="1105" w:type="dxa"/>
            <w:vAlign w:val="center"/>
          </w:tcPr>
          <w:p>
            <w:pPr>
              <w:widowControl/>
              <w:jc w:val="center"/>
              <w:rPr>
                <w:bCs/>
                <w:sz w:val="18"/>
                <w:szCs w:val="18"/>
              </w:rPr>
            </w:pPr>
            <w:r>
              <w:rPr>
                <w:bCs/>
                <w:sz w:val="18"/>
                <w:szCs w:val="18"/>
              </w:rPr>
              <w:t>5</w:t>
            </w:r>
          </w:p>
        </w:tc>
        <w:tc>
          <w:tcPr>
            <w:tcW w:w="1786" w:type="dxa"/>
            <w:vAlign w:val="center"/>
          </w:tcPr>
          <w:p>
            <w:pPr>
              <w:widowControl/>
              <w:jc w:val="center"/>
              <w:rPr>
                <w:bCs/>
                <w:sz w:val="18"/>
                <w:szCs w:val="18"/>
              </w:rPr>
            </w:pPr>
            <w:r>
              <w:rPr>
                <w:bCs/>
                <w:sz w:val="18"/>
                <w:szCs w:val="18"/>
              </w:rPr>
              <w:t>软件平台</w:t>
            </w:r>
          </w:p>
        </w:tc>
        <w:tc>
          <w:tcPr>
            <w:tcW w:w="2714" w:type="dxa"/>
            <w:vAlign w:val="center"/>
          </w:tcPr>
          <w:p>
            <w:pPr>
              <w:widowControl/>
              <w:jc w:val="center"/>
              <w:rPr>
                <w:bCs/>
                <w:sz w:val="18"/>
                <w:szCs w:val="18"/>
              </w:rPr>
            </w:pPr>
            <w:r>
              <w:rPr>
                <w:bCs/>
                <w:sz w:val="18"/>
                <w:szCs w:val="18"/>
              </w:rPr>
              <w:t>包含pc端及手机App维护</w:t>
            </w:r>
          </w:p>
        </w:tc>
        <w:tc>
          <w:tcPr>
            <w:tcW w:w="1505" w:type="dxa"/>
            <w:vAlign w:val="center"/>
          </w:tcPr>
          <w:p>
            <w:pPr>
              <w:widowControl/>
              <w:jc w:val="center"/>
              <w:rPr>
                <w:bCs/>
                <w:sz w:val="18"/>
                <w:szCs w:val="18"/>
              </w:rPr>
            </w:pPr>
          </w:p>
        </w:tc>
      </w:tr>
    </w:tbl>
    <w:p>
      <w:pPr>
        <w:pStyle w:val="53"/>
        <w:ind w:left="0" w:firstLine="0" w:firstLineChars="0"/>
        <w:rPr>
          <w:rFonts w:ascii="Times New Roman" w:eastAsia="宋体"/>
        </w:rPr>
      </w:pPr>
    </w:p>
    <w:p>
      <w:pPr>
        <w:pStyle w:val="53"/>
        <w:ind w:firstLine="640"/>
        <w:rPr>
          <w:rFonts w:ascii="Times New Roman" w:eastAsia="宋体"/>
        </w:rPr>
      </w:pPr>
    </w:p>
    <w:p>
      <w:pPr>
        <w:pStyle w:val="35"/>
        <w:spacing w:line="440" w:lineRule="exact"/>
        <w:ind w:firstLine="422" w:firstLineChars="200"/>
        <w:rPr>
          <w:rFonts w:ascii="Times New Roman" w:hAnsi="Times New Roman"/>
          <w:b/>
          <w:bCs/>
          <w:szCs w:val="21"/>
        </w:rPr>
      </w:pPr>
      <w:r>
        <w:rPr>
          <w:rFonts w:ascii="Times New Roman" w:hAnsi="Times New Roman"/>
          <w:b/>
          <w:bCs/>
          <w:szCs w:val="21"/>
        </w:rPr>
        <w:t>（三）维保服务期：</w:t>
      </w:r>
      <w:r>
        <w:rPr>
          <w:rFonts w:hint="eastAsia" w:ascii="Times New Roman" w:hAnsi="Times New Roman"/>
          <w:b/>
          <w:bCs/>
          <w:szCs w:val="21"/>
        </w:rPr>
        <w:t>自双方合同签订之日起至2024年12月31日</w:t>
      </w:r>
    </w:p>
    <w:p>
      <w:pPr>
        <w:pStyle w:val="35"/>
        <w:spacing w:line="440" w:lineRule="exact"/>
        <w:ind w:firstLine="422" w:firstLineChars="200"/>
        <w:rPr>
          <w:rFonts w:ascii="Times New Roman" w:hAnsi="Times New Roman"/>
          <w:b/>
          <w:bCs/>
          <w:szCs w:val="21"/>
        </w:rPr>
      </w:pPr>
    </w:p>
    <w:p>
      <w:pPr>
        <w:pStyle w:val="35"/>
        <w:spacing w:line="440" w:lineRule="exact"/>
        <w:ind w:firstLine="422" w:firstLineChars="200"/>
        <w:rPr>
          <w:rFonts w:ascii="Times New Roman" w:hAnsi="Times New Roman"/>
          <w:b/>
          <w:bCs/>
          <w:szCs w:val="21"/>
        </w:rPr>
      </w:pPr>
      <w:r>
        <w:rPr>
          <w:rFonts w:ascii="Times New Roman" w:hAnsi="Times New Roman"/>
          <w:b/>
          <w:bCs/>
          <w:szCs w:val="21"/>
        </w:rPr>
        <w:t>（四）验收方式</w:t>
      </w:r>
    </w:p>
    <w:p>
      <w:pPr>
        <w:pStyle w:val="35"/>
        <w:spacing w:line="440" w:lineRule="exact"/>
        <w:ind w:firstLine="420" w:firstLineChars="200"/>
        <w:rPr>
          <w:rFonts w:ascii="Times New Roman" w:hAnsi="Times New Roman"/>
          <w:bCs/>
          <w:szCs w:val="21"/>
        </w:rPr>
      </w:pPr>
      <w:r>
        <w:rPr>
          <w:rFonts w:ascii="Times New Roman" w:hAnsi="Times New Roman"/>
          <w:bCs/>
          <w:szCs w:val="21"/>
        </w:rPr>
        <w:t>确保设备及平台正常稳定运行，并由业主自行验收。</w:t>
      </w:r>
    </w:p>
    <w:p>
      <w:pPr>
        <w:pStyle w:val="35"/>
        <w:spacing w:line="440" w:lineRule="exact"/>
        <w:ind w:firstLine="420" w:firstLineChars="200"/>
        <w:rPr>
          <w:rFonts w:ascii="Times New Roman" w:hAnsi="Times New Roman"/>
          <w:bCs/>
          <w:szCs w:val="21"/>
        </w:rPr>
      </w:pPr>
    </w:p>
    <w:p>
      <w:pPr>
        <w:pStyle w:val="35"/>
        <w:spacing w:line="440" w:lineRule="exact"/>
        <w:ind w:firstLine="422" w:firstLineChars="200"/>
        <w:rPr>
          <w:rFonts w:ascii="Times New Roman" w:hAnsi="Times New Roman"/>
          <w:b/>
          <w:bCs/>
          <w:szCs w:val="21"/>
        </w:rPr>
      </w:pPr>
      <w:r>
        <w:rPr>
          <w:rFonts w:ascii="Times New Roman" w:hAnsi="Times New Roman"/>
          <w:b/>
          <w:bCs/>
          <w:szCs w:val="21"/>
        </w:rPr>
        <w:t>（五）违约责任</w:t>
      </w:r>
    </w:p>
    <w:p>
      <w:pPr>
        <w:widowControl/>
        <w:snapToGrid w:val="0"/>
        <w:spacing w:line="440" w:lineRule="exact"/>
        <w:ind w:firstLine="420" w:firstLineChars="200"/>
        <w:jc w:val="left"/>
        <w:rPr>
          <w:kern w:val="0"/>
          <w:szCs w:val="21"/>
        </w:rPr>
      </w:pPr>
      <w:r>
        <w:rPr>
          <w:kern w:val="0"/>
          <w:szCs w:val="21"/>
        </w:rPr>
        <w:t>工作中涉及的敏感资料、电子数据等相关信息，中标单位应严格执行保密的相关规定，不得以任何方式向任何第三人披露、泄露或许可第三人使用，否则追究其相应法律责任。</w:t>
      </w:r>
    </w:p>
    <w:p>
      <w:pPr>
        <w:widowControl/>
        <w:snapToGrid w:val="0"/>
        <w:spacing w:line="440" w:lineRule="exact"/>
        <w:ind w:firstLine="420" w:firstLineChars="200"/>
        <w:jc w:val="left"/>
        <w:rPr>
          <w:kern w:val="0"/>
          <w:szCs w:val="21"/>
        </w:rPr>
      </w:pPr>
    </w:p>
    <w:p>
      <w:pPr>
        <w:widowControl/>
        <w:numPr>
          <w:ilvl w:val="0"/>
          <w:numId w:val="3"/>
        </w:numPr>
        <w:snapToGrid w:val="0"/>
        <w:spacing w:line="440" w:lineRule="exact"/>
        <w:ind w:firstLine="422" w:firstLineChars="200"/>
        <w:jc w:val="left"/>
        <w:rPr>
          <w:b/>
          <w:szCs w:val="21"/>
        </w:rPr>
      </w:pPr>
      <w:r>
        <w:rPr>
          <w:b/>
          <w:szCs w:val="21"/>
        </w:rPr>
        <w:t>付款方式</w:t>
      </w:r>
    </w:p>
    <w:p>
      <w:pPr>
        <w:widowControl/>
        <w:snapToGrid w:val="0"/>
        <w:spacing w:line="440" w:lineRule="exact"/>
        <w:ind w:firstLine="420" w:firstLineChars="200"/>
        <w:jc w:val="left"/>
        <w:rPr>
          <w:color w:val="FF0000"/>
          <w:kern w:val="0"/>
          <w:szCs w:val="21"/>
        </w:rPr>
      </w:pPr>
      <w:r>
        <w:rPr>
          <w:rFonts w:hint="eastAsia"/>
          <w:kern w:val="0"/>
          <w:szCs w:val="21"/>
        </w:rPr>
        <w:t>项目预算22万元（含不可竞争费用9万元，由中标单位支付）。</w:t>
      </w:r>
      <w:r>
        <w:rPr>
          <w:kern w:val="0"/>
          <w:szCs w:val="21"/>
        </w:rPr>
        <w:t>项目报价含标的物、门票、交通、</w:t>
      </w:r>
      <w:r>
        <w:rPr>
          <w:rFonts w:hint="eastAsia"/>
          <w:kern w:val="0"/>
          <w:szCs w:val="21"/>
        </w:rPr>
        <w:t>不可竞争费用、</w:t>
      </w:r>
      <w:r>
        <w:rPr>
          <w:kern w:val="0"/>
          <w:szCs w:val="21"/>
        </w:rPr>
        <w:t>税金等全部费用。合同签订后，甲方向乙方支付合同额的40%；运行维护期满后，若设备正常运行，无质量缺陷问题，</w:t>
      </w:r>
      <w:r>
        <w:rPr>
          <w:rFonts w:hint="eastAsia"/>
          <w:kern w:val="0"/>
          <w:szCs w:val="21"/>
          <w:lang w:eastAsia="zh-CN"/>
        </w:rPr>
        <w:t>运维期满后</w:t>
      </w:r>
      <w:r>
        <w:rPr>
          <w:kern w:val="0"/>
          <w:szCs w:val="21"/>
        </w:rPr>
        <w:t>甲方向乙方支付余下合同额的60%。</w:t>
      </w:r>
    </w:p>
    <w:p>
      <w:pPr>
        <w:pStyle w:val="18"/>
        <w:jc w:val="both"/>
      </w:pPr>
      <w:bookmarkStart w:id="4" w:name="_Toc33789965"/>
      <w:bookmarkEnd w:id="4"/>
    </w:p>
    <w:p>
      <w:pPr>
        <w:pStyle w:val="18"/>
        <w:jc w:val="center"/>
      </w:pPr>
      <w:r>
        <w:t>评分办法</w:t>
      </w:r>
    </w:p>
    <w:tbl>
      <w:tblPr>
        <w:tblStyle w:val="14"/>
        <w:tblW w:w="9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564"/>
        <w:gridCol w:w="70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135" w:type="dxa"/>
            <w:vAlign w:val="center"/>
          </w:tcPr>
          <w:p>
            <w:pPr>
              <w:spacing w:line="500" w:lineRule="exact"/>
              <w:jc w:val="left"/>
              <w:rPr>
                <w:b/>
                <w:bCs/>
                <w:szCs w:val="21"/>
              </w:rPr>
            </w:pPr>
            <w:r>
              <w:rPr>
                <w:b/>
                <w:bCs/>
                <w:szCs w:val="21"/>
              </w:rPr>
              <w:t>评审项目</w:t>
            </w:r>
          </w:p>
        </w:tc>
        <w:tc>
          <w:tcPr>
            <w:tcW w:w="1564" w:type="dxa"/>
            <w:vAlign w:val="center"/>
          </w:tcPr>
          <w:p>
            <w:pPr>
              <w:spacing w:line="500" w:lineRule="exact"/>
              <w:ind w:firstLine="316" w:firstLineChars="150"/>
              <w:jc w:val="left"/>
              <w:rPr>
                <w:b/>
                <w:bCs/>
                <w:szCs w:val="21"/>
              </w:rPr>
            </w:pPr>
            <w:r>
              <w:rPr>
                <w:b/>
                <w:bCs/>
                <w:szCs w:val="21"/>
              </w:rPr>
              <w:t>分值</w:t>
            </w:r>
          </w:p>
        </w:tc>
        <w:tc>
          <w:tcPr>
            <w:tcW w:w="7088" w:type="dxa"/>
            <w:vAlign w:val="center"/>
          </w:tcPr>
          <w:p>
            <w:pPr>
              <w:spacing w:line="500" w:lineRule="exact"/>
              <w:ind w:firstLine="2741" w:firstLineChars="1300"/>
              <w:jc w:val="left"/>
              <w:rPr>
                <w:b/>
                <w:bCs/>
                <w:szCs w:val="21"/>
              </w:rPr>
            </w:pPr>
            <w:r>
              <w:rPr>
                <w:b/>
                <w:bCs/>
                <w:szCs w:val="21"/>
              </w:rPr>
              <w:t>评审细则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35" w:type="dxa"/>
            <w:vAlign w:val="center"/>
          </w:tcPr>
          <w:p>
            <w:pPr>
              <w:spacing w:line="500" w:lineRule="exact"/>
              <w:jc w:val="left"/>
              <w:rPr>
                <w:szCs w:val="21"/>
              </w:rPr>
            </w:pPr>
            <w:r>
              <w:rPr>
                <w:szCs w:val="21"/>
              </w:rPr>
              <w:t>技术分</w:t>
            </w:r>
          </w:p>
          <w:p>
            <w:pPr>
              <w:spacing w:line="500" w:lineRule="exact"/>
              <w:jc w:val="left"/>
              <w:rPr>
                <w:szCs w:val="21"/>
              </w:rPr>
            </w:pPr>
            <w:r>
              <w:rPr>
                <w:szCs w:val="21"/>
              </w:rPr>
              <w:t>（</w:t>
            </w:r>
            <w:r>
              <w:rPr>
                <w:rFonts w:hint="eastAsia"/>
                <w:szCs w:val="21"/>
                <w:lang w:val="en-US" w:eastAsia="zh-CN"/>
              </w:rPr>
              <w:t>4</w:t>
            </w:r>
            <w:r>
              <w:rPr>
                <w:rFonts w:hint="eastAsia"/>
                <w:szCs w:val="21"/>
              </w:rPr>
              <w:t>0</w:t>
            </w:r>
            <w:r>
              <w:rPr>
                <w:szCs w:val="21"/>
              </w:rPr>
              <w:t>分）</w:t>
            </w:r>
          </w:p>
        </w:tc>
        <w:tc>
          <w:tcPr>
            <w:tcW w:w="1564" w:type="dxa"/>
            <w:vAlign w:val="center"/>
          </w:tcPr>
          <w:p>
            <w:pPr>
              <w:spacing w:line="500" w:lineRule="exact"/>
              <w:jc w:val="left"/>
              <w:rPr>
                <w:szCs w:val="21"/>
              </w:rPr>
            </w:pPr>
          </w:p>
          <w:p>
            <w:pPr>
              <w:spacing w:line="500" w:lineRule="exact"/>
              <w:jc w:val="left"/>
              <w:rPr>
                <w:szCs w:val="21"/>
              </w:rPr>
            </w:pPr>
            <w:r>
              <w:rPr>
                <w:szCs w:val="21"/>
              </w:rPr>
              <w:t>实施方案</w:t>
            </w:r>
          </w:p>
          <w:p>
            <w:pPr>
              <w:spacing w:line="500" w:lineRule="exact"/>
              <w:jc w:val="left"/>
              <w:rPr>
                <w:szCs w:val="21"/>
              </w:rPr>
            </w:pPr>
            <w:r>
              <w:rPr>
                <w:szCs w:val="21"/>
              </w:rPr>
              <w:t>（</w:t>
            </w:r>
            <w:r>
              <w:rPr>
                <w:rFonts w:hint="eastAsia"/>
                <w:szCs w:val="21"/>
                <w:lang w:val="en-US" w:eastAsia="zh-CN"/>
              </w:rPr>
              <w:t>4</w:t>
            </w:r>
            <w:r>
              <w:rPr>
                <w:rFonts w:hint="eastAsia"/>
                <w:szCs w:val="21"/>
              </w:rPr>
              <w:t>0</w:t>
            </w:r>
            <w:r>
              <w:rPr>
                <w:szCs w:val="21"/>
              </w:rPr>
              <w:t>分）</w:t>
            </w:r>
          </w:p>
        </w:tc>
        <w:tc>
          <w:tcPr>
            <w:tcW w:w="7088" w:type="dxa"/>
            <w:vAlign w:val="top"/>
          </w:tcPr>
          <w:p>
            <w:pPr>
              <w:spacing w:line="500" w:lineRule="exact"/>
              <w:ind w:firstLine="210" w:firstLineChars="100"/>
              <w:jc w:val="left"/>
              <w:rPr>
                <w:color w:val="auto"/>
              </w:rPr>
            </w:pPr>
            <w:r>
              <w:rPr>
                <w:color w:val="auto"/>
              </w:rPr>
              <w:t>根据投标人提供的实施方案</w:t>
            </w:r>
            <w:r>
              <w:rPr>
                <w:rFonts w:hint="eastAsia"/>
                <w:color w:val="auto"/>
              </w:rPr>
              <w:t>内容进行评分：</w:t>
            </w:r>
          </w:p>
          <w:p>
            <w:pPr>
              <w:numPr>
                <w:numId w:val="0"/>
              </w:numPr>
              <w:spacing w:line="500" w:lineRule="exact"/>
              <w:jc w:val="left"/>
              <w:rPr>
                <w:rFonts w:hint="eastAsia"/>
                <w:color w:val="auto"/>
              </w:rPr>
            </w:pPr>
            <w:r>
              <w:rPr>
                <w:rFonts w:hint="eastAsia"/>
                <w:color w:val="auto"/>
                <w:lang w:val="en-US" w:eastAsia="zh-CN"/>
              </w:rPr>
              <w:t>1、</w:t>
            </w:r>
            <w:r>
              <w:rPr>
                <w:rFonts w:hint="eastAsia"/>
                <w:color w:val="auto"/>
              </w:rPr>
              <w:t>维保服务内容安排。（</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lang w:val="en-US" w:eastAsia="zh-CN"/>
              </w:rPr>
              <w:t>2、</w:t>
            </w:r>
            <w:r>
              <w:rPr>
                <w:rFonts w:hint="eastAsia"/>
                <w:color w:val="auto"/>
              </w:rPr>
              <w:t>提供设备清单及相关型号。（</w:t>
            </w:r>
            <w:r>
              <w:rPr>
                <w:rFonts w:hint="eastAsia"/>
                <w:color w:val="auto"/>
                <w:lang w:val="en-US" w:eastAsia="zh-CN"/>
              </w:rPr>
              <w:t>5</w:t>
            </w:r>
            <w:r>
              <w:rPr>
                <w:rFonts w:hint="eastAsia"/>
                <w:color w:val="auto"/>
              </w:rPr>
              <w:t>分）</w:t>
            </w:r>
          </w:p>
          <w:p>
            <w:pPr>
              <w:numPr>
                <w:numId w:val="0"/>
              </w:numPr>
              <w:spacing w:line="500" w:lineRule="exact"/>
              <w:jc w:val="left"/>
              <w:rPr>
                <w:rFonts w:hint="eastAsia"/>
                <w:color w:val="auto"/>
              </w:rPr>
            </w:pPr>
            <w:r>
              <w:rPr>
                <w:rFonts w:hint="eastAsia"/>
                <w:color w:val="auto"/>
                <w:lang w:val="en-US" w:eastAsia="zh-CN"/>
              </w:rPr>
              <w:t>3、</w:t>
            </w:r>
            <w:r>
              <w:rPr>
                <w:rFonts w:hint="eastAsia"/>
                <w:color w:val="auto"/>
              </w:rPr>
              <w:t>具备合理的运维服务流程。（</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lang w:val="en-US" w:eastAsia="zh-CN"/>
              </w:rPr>
              <w:t>4、</w:t>
            </w:r>
            <w:r>
              <w:rPr>
                <w:rFonts w:hint="eastAsia"/>
                <w:color w:val="auto"/>
              </w:rPr>
              <w:t>配置运维车辆。（</w:t>
            </w:r>
            <w:r>
              <w:rPr>
                <w:rFonts w:hint="eastAsia"/>
                <w:color w:val="auto"/>
                <w:lang w:val="en-US" w:eastAsia="zh-CN"/>
              </w:rPr>
              <w:t>5</w:t>
            </w:r>
            <w:r>
              <w:rPr>
                <w:rFonts w:hint="eastAsia"/>
                <w:color w:val="auto"/>
              </w:rPr>
              <w:t>分）</w:t>
            </w:r>
          </w:p>
          <w:p>
            <w:pPr>
              <w:numPr>
                <w:numId w:val="0"/>
              </w:numPr>
              <w:spacing w:line="500" w:lineRule="exact"/>
              <w:jc w:val="left"/>
              <w:rPr>
                <w:rFonts w:hint="eastAsia"/>
                <w:color w:val="FF0000"/>
              </w:rPr>
            </w:pPr>
            <w:r>
              <w:rPr>
                <w:rFonts w:hint="eastAsia"/>
                <w:color w:val="auto"/>
                <w:lang w:val="en-US" w:eastAsia="zh-CN"/>
              </w:rPr>
              <w:t>5、</w:t>
            </w:r>
            <w:r>
              <w:rPr>
                <w:rFonts w:hint="eastAsia"/>
                <w:color w:val="auto"/>
              </w:rPr>
              <w:t>质控措施具有数据质量保障体系。（</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lang w:val="en-US" w:eastAsia="zh-CN"/>
              </w:rPr>
              <w:t>6、</w:t>
            </w:r>
            <w:r>
              <w:rPr>
                <w:rFonts w:hint="eastAsia"/>
                <w:color w:val="auto"/>
              </w:rPr>
              <w:t>有质控保证实验室。（</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lang w:val="en-US" w:eastAsia="zh-CN"/>
              </w:rPr>
              <w:t>7、</w:t>
            </w:r>
            <w:r>
              <w:rPr>
                <w:rFonts w:hint="eastAsia"/>
                <w:color w:val="auto"/>
              </w:rPr>
              <w:t>列出质控工作开展参考质控标准规范。（</w:t>
            </w:r>
            <w:r>
              <w:rPr>
                <w:rFonts w:hint="eastAsia"/>
                <w:color w:val="auto"/>
                <w:lang w:val="en-US" w:eastAsia="zh-CN"/>
              </w:rPr>
              <w:t>5</w:t>
            </w:r>
            <w:r>
              <w:rPr>
                <w:rFonts w:hint="eastAsia"/>
                <w:color w:val="auto"/>
              </w:rPr>
              <w:t>分）</w:t>
            </w:r>
            <w:r>
              <w:rPr>
                <w:rFonts w:hint="eastAsia"/>
                <w:color w:val="auto"/>
                <w:lang w:eastAsia="zh-CN"/>
              </w:rPr>
              <w:t>；</w:t>
            </w:r>
            <w:r>
              <w:rPr>
                <w:rFonts w:hint="eastAsia"/>
                <w:color w:val="auto"/>
                <w:lang w:val="en-US" w:eastAsia="zh-CN"/>
              </w:rPr>
              <w:t>8</w:t>
            </w:r>
            <w:r>
              <w:rPr>
                <w:rFonts w:hint="eastAsia"/>
                <w:color w:val="auto"/>
              </w:rPr>
              <w:t>、详细描述质控内容。（</w:t>
            </w:r>
            <w:r>
              <w:rPr>
                <w:rFonts w:hint="eastAsia"/>
                <w:color w:val="auto"/>
                <w:lang w:val="en-US" w:eastAsia="zh-CN"/>
              </w:rPr>
              <w:t>5</w:t>
            </w:r>
            <w:r>
              <w:rPr>
                <w:rFonts w:hint="eastAsia"/>
                <w:color w:val="auto"/>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35" w:type="dxa"/>
            <w:vMerge w:val="restart"/>
            <w:vAlign w:val="center"/>
          </w:tcPr>
          <w:p>
            <w:pPr>
              <w:spacing w:line="500" w:lineRule="exact"/>
              <w:jc w:val="left"/>
              <w:rPr>
                <w:szCs w:val="21"/>
              </w:rPr>
            </w:pPr>
            <w:r>
              <w:rPr>
                <w:szCs w:val="21"/>
              </w:rPr>
              <w:t>商务分</w:t>
            </w:r>
          </w:p>
          <w:p>
            <w:pPr>
              <w:spacing w:line="500" w:lineRule="exact"/>
              <w:jc w:val="left"/>
              <w:rPr>
                <w:szCs w:val="21"/>
              </w:rPr>
            </w:pPr>
            <w:r>
              <w:rPr>
                <w:szCs w:val="21"/>
              </w:rPr>
              <w:t>（</w:t>
            </w:r>
            <w:r>
              <w:rPr>
                <w:rFonts w:hint="eastAsia"/>
                <w:szCs w:val="21"/>
                <w:lang w:val="en-US" w:eastAsia="zh-CN"/>
              </w:rPr>
              <w:t>42</w:t>
            </w:r>
            <w:r>
              <w:rPr>
                <w:szCs w:val="21"/>
              </w:rPr>
              <w:t>分）</w:t>
            </w:r>
          </w:p>
        </w:tc>
        <w:tc>
          <w:tcPr>
            <w:tcW w:w="1564" w:type="dxa"/>
            <w:vAlign w:val="center"/>
          </w:tcPr>
          <w:p>
            <w:pPr>
              <w:spacing w:line="500" w:lineRule="exact"/>
              <w:jc w:val="left"/>
              <w:rPr>
                <w:szCs w:val="21"/>
              </w:rPr>
            </w:pPr>
            <w:r>
              <w:rPr>
                <w:szCs w:val="21"/>
              </w:rPr>
              <w:t>投标人</w:t>
            </w:r>
          </w:p>
          <w:p>
            <w:pPr>
              <w:spacing w:line="500" w:lineRule="exact"/>
              <w:jc w:val="left"/>
              <w:rPr>
                <w:rFonts w:hint="eastAsia"/>
                <w:szCs w:val="21"/>
              </w:rPr>
            </w:pPr>
            <w:r>
              <w:rPr>
                <w:rFonts w:hint="eastAsia"/>
                <w:szCs w:val="21"/>
              </w:rPr>
              <w:t>专业综合能力</w:t>
            </w:r>
          </w:p>
          <w:p>
            <w:pPr>
              <w:spacing w:line="500" w:lineRule="exact"/>
              <w:jc w:val="left"/>
              <w:rPr>
                <w:szCs w:val="21"/>
              </w:rPr>
            </w:pPr>
            <w:r>
              <w:rPr>
                <w:szCs w:val="21"/>
              </w:rPr>
              <w:t>（</w:t>
            </w:r>
            <w:r>
              <w:rPr>
                <w:rFonts w:hint="eastAsia"/>
                <w:szCs w:val="21"/>
              </w:rPr>
              <w:t>21</w:t>
            </w:r>
            <w:r>
              <w:rPr>
                <w:szCs w:val="21"/>
              </w:rPr>
              <w:t>分）</w:t>
            </w:r>
          </w:p>
        </w:tc>
        <w:tc>
          <w:tcPr>
            <w:tcW w:w="7088" w:type="dxa"/>
            <w:vAlign w:val="top"/>
          </w:tcPr>
          <w:p>
            <w:pPr>
              <w:spacing w:line="500" w:lineRule="exact"/>
              <w:ind w:firstLine="210" w:firstLineChars="100"/>
              <w:jc w:val="left"/>
              <w:rPr>
                <w:szCs w:val="21"/>
              </w:rPr>
            </w:pPr>
            <w:r>
              <w:rPr>
                <w:szCs w:val="21"/>
              </w:rPr>
              <w:t>1</w:t>
            </w:r>
            <w:r>
              <w:rPr>
                <w:rFonts w:hint="eastAsia"/>
                <w:szCs w:val="21"/>
              </w:rPr>
              <w:t>、</w:t>
            </w:r>
            <w:r>
              <w:rPr>
                <w:szCs w:val="21"/>
              </w:rPr>
              <w:t>投标人项目团队的专业背景覆盖环境科学与工程等相关专业，每提供一个得2分，满分10分。</w:t>
            </w:r>
          </w:p>
          <w:p>
            <w:pPr>
              <w:spacing w:line="500" w:lineRule="exact"/>
              <w:jc w:val="left"/>
              <w:rPr>
                <w:szCs w:val="21"/>
              </w:rPr>
            </w:pPr>
            <w:r>
              <w:rPr>
                <w:szCs w:val="21"/>
              </w:rPr>
              <w:t>注：提供</w:t>
            </w:r>
            <w:r>
              <w:rPr>
                <w:rFonts w:hint="eastAsia"/>
                <w:szCs w:val="21"/>
              </w:rPr>
              <w:t>人员劳动合同及毕业</w:t>
            </w:r>
            <w:r>
              <w:rPr>
                <w:szCs w:val="21"/>
              </w:rPr>
              <w:t>证书复印件并加盖单位公章，未提供不得分</w:t>
            </w:r>
          </w:p>
          <w:p>
            <w:pPr>
              <w:spacing w:line="500" w:lineRule="exact"/>
              <w:jc w:val="left"/>
              <w:rPr>
                <w:rFonts w:hint="eastAsia"/>
                <w:szCs w:val="21"/>
              </w:rPr>
            </w:pPr>
            <w:r>
              <w:rPr>
                <w:rFonts w:hint="eastAsia"/>
                <w:szCs w:val="21"/>
              </w:rPr>
              <w:t>注：环境科学与工程等相关专业指：环境科学与工程、环境工程、环境科学、环境生态工程、环保设备工程、资源环境科学和水质科学与技术等。</w:t>
            </w:r>
          </w:p>
          <w:p>
            <w:pPr>
              <w:spacing w:line="500" w:lineRule="exact"/>
              <w:ind w:firstLine="210" w:firstLineChars="100"/>
              <w:jc w:val="left"/>
              <w:rPr>
                <w:szCs w:val="21"/>
              </w:rPr>
            </w:pPr>
            <w:r>
              <w:rPr>
                <w:szCs w:val="21"/>
              </w:rPr>
              <w:t>2</w:t>
            </w:r>
            <w:r>
              <w:rPr>
                <w:rFonts w:hint="eastAsia"/>
                <w:szCs w:val="21"/>
              </w:rPr>
              <w:t>、</w:t>
            </w:r>
            <w:r>
              <w:rPr>
                <w:szCs w:val="21"/>
              </w:rPr>
              <w:t>投标人为本项目服务的项目经理具有项目管理专业人士资格认证证书（PMP证书）的，得2分。</w:t>
            </w:r>
          </w:p>
          <w:p>
            <w:pPr>
              <w:spacing w:line="500" w:lineRule="exact"/>
              <w:ind w:firstLine="210" w:firstLineChars="100"/>
              <w:jc w:val="left"/>
              <w:rPr>
                <w:szCs w:val="21"/>
              </w:rPr>
            </w:pPr>
            <w:r>
              <w:rPr>
                <w:szCs w:val="21"/>
              </w:rPr>
              <w:t>3</w:t>
            </w:r>
            <w:r>
              <w:rPr>
                <w:rFonts w:hint="eastAsia"/>
                <w:szCs w:val="21"/>
              </w:rPr>
              <w:t>、</w:t>
            </w:r>
            <w:r>
              <w:rPr>
                <w:szCs w:val="21"/>
              </w:rPr>
              <w:t>投标人为本项目服务的运维人员具有中国环境监测总站颁发的环境空气质量自动监测运维技术与质控培训合格证书</w:t>
            </w:r>
            <w:r>
              <w:rPr>
                <w:rFonts w:hint="eastAsia"/>
                <w:szCs w:val="21"/>
              </w:rPr>
              <w:t>或国家地表水环境质量自动监测技术与运维管理培训证书合格证书，</w:t>
            </w:r>
            <w:r>
              <w:rPr>
                <w:szCs w:val="21"/>
              </w:rPr>
              <w:t>且证书上工作单位须为投标人，每提供一个得1分，满分4分</w:t>
            </w:r>
            <w:r>
              <w:rPr>
                <w:rFonts w:hint="eastAsia"/>
                <w:szCs w:val="21"/>
              </w:rPr>
              <w:t>。</w:t>
            </w:r>
          </w:p>
          <w:p>
            <w:pPr>
              <w:spacing w:line="500" w:lineRule="exact"/>
              <w:jc w:val="left"/>
              <w:rPr>
                <w:szCs w:val="21"/>
              </w:rPr>
            </w:pPr>
            <w:r>
              <w:rPr>
                <w:szCs w:val="21"/>
              </w:rPr>
              <w:t>注：以上证书提供复印件并加盖单位公章，各证书持有人员须提供在公司缴纳近2个月的社保证明并加盖单位公章，否则不得分。</w:t>
            </w:r>
          </w:p>
          <w:p>
            <w:pPr>
              <w:spacing w:line="500" w:lineRule="exact"/>
              <w:ind w:firstLine="210" w:firstLineChars="100"/>
              <w:jc w:val="left"/>
              <w:rPr>
                <w:rFonts w:hint="eastAsia"/>
                <w:szCs w:val="21"/>
              </w:rPr>
            </w:pPr>
            <w:r>
              <w:rPr>
                <w:rFonts w:hint="eastAsia"/>
                <w:szCs w:val="21"/>
              </w:rPr>
              <w:t>4、</w:t>
            </w:r>
            <w:r>
              <w:rPr>
                <w:szCs w:val="21"/>
              </w:rPr>
              <w:t>投标人具有有效期内的ISO9001质量管理体系认证、ISO14001环境管理体系认证证书、ISO27001信息安全管理体系认证证书，每提供一个证书得</w:t>
            </w:r>
            <w:r>
              <w:rPr>
                <w:rFonts w:hint="eastAsia"/>
                <w:szCs w:val="21"/>
              </w:rPr>
              <w:t>1</w:t>
            </w:r>
            <w:r>
              <w:rPr>
                <w:szCs w:val="21"/>
              </w:rPr>
              <w:t>分，满分</w:t>
            </w:r>
            <w:r>
              <w:rPr>
                <w:rFonts w:hint="eastAsia"/>
                <w:szCs w:val="21"/>
              </w:rPr>
              <w:t>3</w:t>
            </w:r>
            <w:r>
              <w:rPr>
                <w:szCs w:val="21"/>
              </w:rPr>
              <w:t>分。</w:t>
            </w:r>
          </w:p>
          <w:p>
            <w:pPr>
              <w:spacing w:line="500" w:lineRule="exact"/>
              <w:ind w:firstLine="210" w:firstLineChars="100"/>
              <w:jc w:val="left"/>
              <w:rPr>
                <w:rFonts w:hint="eastAsia"/>
                <w:szCs w:val="21"/>
              </w:rPr>
            </w:pPr>
            <w:r>
              <w:rPr>
                <w:rFonts w:hint="eastAsia"/>
                <w:szCs w:val="21"/>
              </w:rPr>
              <w:t>5、</w:t>
            </w:r>
            <w:r>
              <w:rPr>
                <w:szCs w:val="21"/>
              </w:rPr>
              <w:t>投标人</w:t>
            </w:r>
            <w:r>
              <w:rPr>
                <w:rFonts w:hint="eastAsia"/>
                <w:szCs w:val="21"/>
              </w:rPr>
              <w:t>通过信息技术服务运行维护ITSS认证的，得2分</w:t>
            </w:r>
            <w:r>
              <w:rPr>
                <w:szCs w:val="21"/>
              </w:rPr>
              <w:t>。</w:t>
            </w:r>
          </w:p>
          <w:p>
            <w:pPr>
              <w:spacing w:line="500" w:lineRule="exact"/>
              <w:jc w:val="left"/>
              <w:rPr>
                <w:b/>
                <w:bCs/>
                <w:szCs w:val="21"/>
              </w:rPr>
            </w:pPr>
            <w:r>
              <w:rPr>
                <w:szCs w:val="21"/>
              </w:rPr>
              <w:t>注：以上证书提供复印件并加盖单位公章，否则不得分。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jc w:val="center"/>
        </w:trPr>
        <w:tc>
          <w:tcPr>
            <w:tcW w:w="1135" w:type="dxa"/>
            <w:vMerge w:val="continue"/>
            <w:vAlign w:val="center"/>
          </w:tcPr>
          <w:p>
            <w:pPr>
              <w:spacing w:line="500" w:lineRule="exact"/>
              <w:jc w:val="left"/>
              <w:rPr>
                <w:szCs w:val="21"/>
              </w:rPr>
            </w:pPr>
          </w:p>
        </w:tc>
        <w:tc>
          <w:tcPr>
            <w:tcW w:w="1564" w:type="dxa"/>
            <w:vAlign w:val="center"/>
          </w:tcPr>
          <w:p>
            <w:pPr>
              <w:spacing w:line="500" w:lineRule="exact"/>
              <w:jc w:val="left"/>
              <w:rPr>
                <w:szCs w:val="21"/>
              </w:rPr>
            </w:pPr>
            <w:r>
              <w:rPr>
                <w:szCs w:val="21"/>
              </w:rPr>
              <w:t>投标人业绩</w:t>
            </w:r>
          </w:p>
          <w:p>
            <w:pPr>
              <w:spacing w:line="500" w:lineRule="exact"/>
              <w:jc w:val="left"/>
              <w:rPr>
                <w:szCs w:val="21"/>
              </w:rPr>
            </w:pPr>
            <w:r>
              <w:rPr>
                <w:szCs w:val="21"/>
              </w:rPr>
              <w:t>（</w:t>
            </w:r>
            <w:r>
              <w:rPr>
                <w:rFonts w:hint="eastAsia"/>
                <w:szCs w:val="21"/>
                <w:lang w:val="en-US" w:eastAsia="zh-CN"/>
              </w:rPr>
              <w:t>21</w:t>
            </w:r>
            <w:r>
              <w:rPr>
                <w:szCs w:val="21"/>
              </w:rPr>
              <w:t>分）</w:t>
            </w:r>
          </w:p>
        </w:tc>
        <w:tc>
          <w:tcPr>
            <w:tcW w:w="7088" w:type="dxa"/>
            <w:vAlign w:val="top"/>
          </w:tcPr>
          <w:p>
            <w:pPr>
              <w:spacing w:line="360" w:lineRule="auto"/>
              <w:jc w:val="left"/>
              <w:rPr>
                <w:szCs w:val="21"/>
              </w:rPr>
            </w:pPr>
            <w:r>
              <w:rPr>
                <w:szCs w:val="21"/>
              </w:rPr>
              <w:t>投标人自202</w:t>
            </w:r>
            <w:r>
              <w:rPr>
                <w:rFonts w:hint="eastAsia"/>
                <w:szCs w:val="21"/>
                <w:lang w:val="en-US" w:eastAsia="zh-CN"/>
              </w:rPr>
              <w:t>0</w:t>
            </w:r>
            <w:r>
              <w:rPr>
                <w:szCs w:val="21"/>
              </w:rPr>
              <w:t>年1月1日起至今（以合同签订时间为准）的类似生态环境监测设备运维销售业绩，每提供1个得</w:t>
            </w:r>
            <w:r>
              <w:rPr>
                <w:rFonts w:hint="eastAsia"/>
                <w:szCs w:val="21"/>
                <w:lang w:val="en-US" w:eastAsia="zh-CN"/>
              </w:rPr>
              <w:t>3</w:t>
            </w:r>
            <w:r>
              <w:rPr>
                <w:szCs w:val="21"/>
              </w:rPr>
              <w:t>分，满分</w:t>
            </w:r>
            <w:r>
              <w:rPr>
                <w:rFonts w:hint="eastAsia"/>
                <w:szCs w:val="21"/>
                <w:lang w:val="en-US" w:eastAsia="zh-CN"/>
              </w:rPr>
              <w:t>21</w:t>
            </w:r>
            <w:r>
              <w:rPr>
                <w:szCs w:val="21"/>
              </w:rPr>
              <w:t>分，提供合同复印件，并加盖单位公章。</w:t>
            </w:r>
          </w:p>
          <w:p>
            <w:pPr>
              <w:spacing w:line="360" w:lineRule="auto"/>
              <w:jc w:val="left"/>
              <w:rPr>
                <w:b/>
                <w:szCs w:val="21"/>
              </w:rPr>
            </w:pPr>
            <w:r>
              <w:rPr>
                <w:szCs w:val="21"/>
              </w:rPr>
              <w:t>注：合同复印件内容包括：合同金额、服务内容、买卖双方名称及盖章、合同签订日期。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vAlign w:val="center"/>
          </w:tcPr>
          <w:p>
            <w:pPr>
              <w:spacing w:line="500" w:lineRule="exact"/>
              <w:jc w:val="left"/>
              <w:rPr>
                <w:szCs w:val="21"/>
              </w:rPr>
            </w:pPr>
            <w:r>
              <w:rPr>
                <w:szCs w:val="21"/>
              </w:rPr>
              <w:t>价格分</w:t>
            </w:r>
          </w:p>
          <w:p>
            <w:pPr>
              <w:spacing w:line="500" w:lineRule="exact"/>
              <w:jc w:val="left"/>
              <w:rPr>
                <w:szCs w:val="21"/>
              </w:rPr>
            </w:pPr>
            <w:r>
              <w:rPr>
                <w:szCs w:val="21"/>
              </w:rPr>
              <w:t>（</w:t>
            </w:r>
            <w:r>
              <w:rPr>
                <w:rFonts w:hint="eastAsia"/>
                <w:szCs w:val="21"/>
                <w:lang w:val="en-US" w:eastAsia="zh-CN"/>
              </w:rPr>
              <w:t>18</w:t>
            </w:r>
            <w:r>
              <w:rPr>
                <w:szCs w:val="21"/>
              </w:rPr>
              <w:t>分）</w:t>
            </w:r>
          </w:p>
        </w:tc>
        <w:tc>
          <w:tcPr>
            <w:tcW w:w="1564" w:type="dxa"/>
            <w:vAlign w:val="center"/>
          </w:tcPr>
          <w:p>
            <w:pPr>
              <w:spacing w:line="500" w:lineRule="exact"/>
              <w:jc w:val="left"/>
              <w:rPr>
                <w:szCs w:val="21"/>
              </w:rPr>
            </w:pPr>
            <w:r>
              <w:rPr>
                <w:szCs w:val="21"/>
              </w:rPr>
              <w:t>投标人报价</w:t>
            </w:r>
          </w:p>
          <w:p>
            <w:pPr>
              <w:spacing w:line="500" w:lineRule="exact"/>
              <w:ind w:firstLine="105" w:firstLineChars="50"/>
              <w:jc w:val="left"/>
              <w:rPr>
                <w:szCs w:val="21"/>
              </w:rPr>
            </w:pPr>
            <w:r>
              <w:rPr>
                <w:szCs w:val="21"/>
              </w:rPr>
              <w:t>（1</w:t>
            </w:r>
            <w:r>
              <w:rPr>
                <w:rFonts w:hint="eastAsia"/>
                <w:szCs w:val="21"/>
                <w:lang w:val="en-US" w:eastAsia="zh-CN"/>
              </w:rPr>
              <w:t>8</w:t>
            </w:r>
            <w:r>
              <w:rPr>
                <w:szCs w:val="21"/>
              </w:rPr>
              <w:t>分）</w:t>
            </w:r>
          </w:p>
        </w:tc>
        <w:tc>
          <w:tcPr>
            <w:tcW w:w="7088" w:type="dxa"/>
            <w:vAlign w:val="center"/>
          </w:tcPr>
          <w:p>
            <w:pPr>
              <w:spacing w:line="500" w:lineRule="exact"/>
              <w:ind w:firstLine="210" w:firstLineChars="100"/>
              <w:jc w:val="left"/>
              <w:rPr>
                <w:szCs w:val="21"/>
              </w:rPr>
            </w:pPr>
            <w:r>
              <w:rPr>
                <w:szCs w:val="21"/>
              </w:rPr>
              <w:t>价格标经评审满足本文件要求的投标人的总报价中，最低价格为评标基准价格，得满分；其他投标人的价格分统一按照下列公式计算：</w:t>
            </w:r>
          </w:p>
          <w:p>
            <w:pPr>
              <w:spacing w:line="500" w:lineRule="exact"/>
              <w:ind w:firstLine="210" w:firstLineChars="100"/>
              <w:jc w:val="left"/>
              <w:rPr>
                <w:szCs w:val="21"/>
              </w:rPr>
            </w:pPr>
            <w:r>
              <w:rPr>
                <w:szCs w:val="21"/>
              </w:rPr>
              <w:t>投标报价得分＝（评标基准价/投标报价）×价格分分值（取小数点后两位，第三位四舍五入）。</w:t>
            </w:r>
          </w:p>
        </w:tc>
      </w:tr>
    </w:tbl>
    <w:p>
      <w:pPr>
        <w:jc w:val="left"/>
      </w:pPr>
    </w:p>
    <w:p>
      <w:pPr>
        <w:pStyle w:val="53"/>
        <w:ind w:firstLine="640"/>
        <w:jc w:val="left"/>
        <w:rPr>
          <w:rFonts w:ascii="Times New Roman" w:eastAsia="宋体"/>
        </w:rPr>
      </w:pPr>
    </w:p>
    <w:sectPr>
      <w:pgSz w:w="11906" w:h="16838"/>
      <w:pgMar w:top="1015" w:right="1196" w:bottom="868" w:left="1259" w:header="851" w:footer="907" w:gutter="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altName w:val="微软雅黑"/>
    <w:panose1 w:val="00000000000000000000"/>
    <w:charset w:val="86"/>
    <w:family w:val="script"/>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文鼎大标宋">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center" w:y="1"/>
    </w:pPr>
    <w:r>
      <w:fldChar w:fldCharType="begin"/>
    </w:r>
    <w:r>
      <w:rPr>
        <w:rStyle w:val="56"/>
      </w:rPr>
      <w:instrText xml:space="preserve">PAGE  </w:instrText>
    </w:r>
    <w:r>
      <w:fldChar w:fldCharType="separate"/>
    </w:r>
    <w:r>
      <w:rPr>
        <w:rStyle w:val="56"/>
      </w:rPr>
      <w:t>1</w:t>
    </w:r>
    <w:r>
      <w:fldChar w:fldCharType="end"/>
    </w:r>
  </w:p>
  <w:p>
    <w:pPr>
      <w:pStyle w:val="4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tabs>
        <w:tab w:val="left" w:pos="3565"/>
        <w:tab w:val="clear" w:pos="4153"/>
        <w:tab w:val="clear" w:pos="8306"/>
      </w:tabs>
      <w:rPr>
        <w:rFonts w:hint="eastAsia"/>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784D56"/>
    <w:multiLevelType w:val="singleLevel"/>
    <w:tmpl w:val="06784D56"/>
    <w:lvl w:ilvl="0" w:tentative="0">
      <w:start w:val="1"/>
      <w:numFmt w:val="upperLetter"/>
      <w:pStyle w:val="81"/>
      <w:lvlText w:val="附录%1."/>
      <w:lvlJc w:val="left"/>
      <w:pPr>
        <w:tabs>
          <w:tab w:val="left" w:pos="907"/>
        </w:tabs>
        <w:ind w:left="907" w:hanging="907"/>
      </w:pPr>
      <w:rPr>
        <w:rFonts w:hint="eastAsia"/>
      </w:rPr>
    </w:lvl>
  </w:abstractNum>
  <w:abstractNum w:abstractNumId="1">
    <w:nsid w:val="237E4D61"/>
    <w:multiLevelType w:val="multilevel"/>
    <w:tmpl w:val="237E4D61"/>
    <w:lvl w:ilvl="0" w:tentative="0">
      <w:start w:val="1"/>
      <w:numFmt w:val="japaneseCounting"/>
      <w:pStyle w:val="67"/>
      <w:lvlText w:val="第%1章"/>
      <w:lvlJc w:val="left"/>
      <w:pPr>
        <w:ind w:left="9351" w:hanging="420"/>
      </w:pPr>
      <w:rPr>
        <w:rFonts w:hint="eastAsia" w:ascii="黑体" w:eastAsia="黑体"/>
        <w:b w:val="0"/>
        <w:sz w:val="36"/>
        <w:lang w:val="en-US"/>
      </w:rPr>
    </w:lvl>
    <w:lvl w:ilvl="1" w:tentative="0">
      <w:start w:val="1"/>
      <w:numFmt w:val="decimal"/>
      <w:pStyle w:val="68"/>
      <w:lvlText w:val="%1.%2"/>
      <w:lvlJc w:val="left"/>
      <w:pPr>
        <w:tabs>
          <w:tab w:val="left" w:pos="851"/>
        </w:tabs>
        <w:ind w:left="0" w:firstLine="0"/>
      </w:pPr>
      <w:rPr>
        <w:b w:val="0"/>
        <w:bCs w:val="0"/>
        <w:i w:val="0"/>
        <w:iCs w:val="0"/>
        <w:shadow w:val="0"/>
        <w:vanish/>
        <w:spacing w:val="0"/>
        <w:kern w:val="0"/>
        <w:u w:val="none"/>
        <w:vertAlign w:val="baseline"/>
      </w:rPr>
    </w:lvl>
    <w:lvl w:ilvl="2" w:tentative="0">
      <w:start w:val="1"/>
      <w:numFmt w:val="decimal"/>
      <w:pStyle w:val="66"/>
      <w:lvlText w:val="%1.%2.%3"/>
      <w:lvlJc w:val="left"/>
      <w:pPr>
        <w:tabs>
          <w:tab w:val="left" w:pos="851"/>
        </w:tabs>
        <w:ind w:left="0" w:firstLine="0"/>
      </w:pPr>
      <w:rPr>
        <w:b w:val="0"/>
        <w:bCs w:val="0"/>
        <w:i w:val="0"/>
        <w:iCs w:val="0"/>
        <w:shadow w:val="0"/>
        <w:vanish/>
        <w:color w:val="000000"/>
        <w:spacing w:val="0"/>
        <w:kern w:val="0"/>
        <w:u w:val="none"/>
        <w:vertAlign w:val="baseline"/>
      </w:rPr>
    </w:lvl>
    <w:lvl w:ilvl="3" w:tentative="0">
      <w:start w:val="1"/>
      <w:numFmt w:val="decimal"/>
      <w:pStyle w:val="78"/>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74AD5CC2"/>
    <w:multiLevelType w:val="singleLevel"/>
    <w:tmpl w:val="74AD5CC2"/>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wMDQzYTQzOGU4MGIwZjZkMTVhMGIyZDcxZDBmZGMifQ=="/>
  </w:docVars>
  <w:rsids>
    <w:rsidRoot w:val="00000000"/>
    <w:rsid w:val="179A6BD8"/>
    <w:rsid w:val="17C2773E"/>
    <w:rsid w:val="1BF4314E"/>
    <w:rsid w:val="2DE913EE"/>
    <w:rsid w:val="430A31DB"/>
    <w:rsid w:val="450E0771"/>
    <w:rsid w:val="651128F1"/>
    <w:rsid w:val="66784F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4"/>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toc 7"/>
    <w:basedOn w:val="1"/>
    <w:next w:val="1"/>
    <w:semiHidden/>
    <w:qFormat/>
    <w:uiPriority w:val="0"/>
    <w:pPr>
      <w:ind w:left="2520" w:leftChars="1200"/>
    </w:pPr>
  </w:style>
  <w:style w:type="paragraph" w:styleId="3">
    <w:name w:val="annotation text"/>
    <w:basedOn w:val="1"/>
    <w:qFormat/>
    <w:uiPriority w:val="0"/>
    <w:pPr>
      <w:jc w:val="left"/>
    </w:pPr>
  </w:style>
  <w:style w:type="paragraph" w:styleId="4">
    <w:name w:val="toc 5"/>
    <w:basedOn w:val="1"/>
    <w:next w:val="1"/>
    <w:semiHidden/>
    <w:qFormat/>
    <w:uiPriority w:val="0"/>
    <w:pPr>
      <w:ind w:left="1680" w:leftChars="800"/>
    </w:pPr>
  </w:style>
  <w:style w:type="paragraph" w:styleId="5">
    <w:name w:val="toc 3"/>
    <w:basedOn w:val="1"/>
    <w:next w:val="1"/>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6">
    <w:name w:val="toc 8"/>
    <w:basedOn w:val="1"/>
    <w:next w:val="1"/>
    <w:semiHidden/>
    <w:qFormat/>
    <w:uiPriority w:val="0"/>
    <w:pPr>
      <w:ind w:left="2940" w:leftChars="14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10">
    <w:name w:val="toc 4"/>
    <w:basedOn w:val="1"/>
    <w:next w:val="1"/>
    <w:semiHidden/>
    <w:qFormat/>
    <w:uiPriority w:val="0"/>
    <w:pPr>
      <w:ind w:left="1260" w:leftChars="600"/>
    </w:pPr>
  </w:style>
  <w:style w:type="paragraph" w:styleId="11">
    <w:name w:val="toc 6"/>
    <w:basedOn w:val="1"/>
    <w:next w:val="1"/>
    <w:semiHidden/>
    <w:qFormat/>
    <w:uiPriority w:val="0"/>
    <w:pPr>
      <w:ind w:left="2100" w:leftChars="1000"/>
    </w:pPr>
  </w:style>
  <w:style w:type="paragraph" w:styleId="12">
    <w:name w:val="toc 2"/>
    <w:basedOn w:val="1"/>
    <w:next w:val="1"/>
    <w:semiHidden/>
    <w:qFormat/>
    <w:uiPriority w:val="0"/>
    <w:pPr>
      <w:tabs>
        <w:tab w:val="right" w:leader="dot" w:pos="9440"/>
      </w:tabs>
      <w:spacing w:line="260" w:lineRule="exact"/>
      <w:jc w:val="left"/>
    </w:pPr>
    <w:rPr>
      <w:rFonts w:ascii="黑体" w:eastAsia="黑体"/>
      <w:b/>
      <w:bCs/>
      <w:sz w:val="18"/>
      <w:szCs w:val="44"/>
    </w:rPr>
  </w:style>
  <w:style w:type="paragraph" w:styleId="13">
    <w:name w:val="toc 9"/>
    <w:basedOn w:val="1"/>
    <w:next w:val="1"/>
    <w:semiHidden/>
    <w:qFormat/>
    <w:uiPriority w:val="0"/>
    <w:pPr>
      <w:ind w:left="3360" w:leftChars="1600"/>
    </w:pPr>
  </w:style>
  <w:style w:type="paragraph" w:customStyle="1" w:styleId="16">
    <w:name w:val="标题 11"/>
    <w:basedOn w:val="1"/>
    <w:link w:val="23"/>
    <w:qFormat/>
    <w:uiPriority w:val="0"/>
    <w:pPr>
      <w:keepNext/>
      <w:outlineLvl w:val="0"/>
    </w:pPr>
    <w:rPr>
      <w:rFonts w:ascii="楷体_GB2312" w:eastAsia="楷体_GB2312"/>
      <w:sz w:val="28"/>
      <w:szCs w:val="20"/>
    </w:rPr>
  </w:style>
  <w:style w:type="paragraph" w:customStyle="1" w:styleId="17">
    <w:name w:val="标题 21"/>
    <w:basedOn w:val="1"/>
    <w:link w:val="24"/>
    <w:qFormat/>
    <w:uiPriority w:val="0"/>
    <w:pPr>
      <w:keepNext/>
      <w:keepLines/>
      <w:spacing w:before="260" w:after="260" w:line="416" w:lineRule="auto"/>
      <w:jc w:val="center"/>
      <w:outlineLvl w:val="1"/>
    </w:pPr>
    <w:rPr>
      <w:rFonts w:ascii="Arial" w:hAnsi="Arial" w:eastAsia="幼圆"/>
      <w:b/>
      <w:sz w:val="44"/>
      <w:szCs w:val="20"/>
    </w:rPr>
  </w:style>
  <w:style w:type="paragraph" w:customStyle="1" w:styleId="18">
    <w:name w:val="标题 31"/>
    <w:basedOn w:val="1"/>
    <w:link w:val="27"/>
    <w:qFormat/>
    <w:uiPriority w:val="0"/>
    <w:pPr>
      <w:keepNext/>
      <w:keepLines/>
      <w:spacing w:before="260" w:after="260" w:line="416" w:lineRule="auto"/>
      <w:outlineLvl w:val="2"/>
    </w:pPr>
    <w:rPr>
      <w:b/>
      <w:sz w:val="32"/>
      <w:szCs w:val="20"/>
    </w:rPr>
  </w:style>
  <w:style w:type="paragraph" w:customStyle="1" w:styleId="19">
    <w:name w:val="标题 41"/>
    <w:basedOn w:val="1"/>
    <w:qFormat/>
    <w:uiPriority w:val="0"/>
    <w:pPr>
      <w:keepNext/>
      <w:keepLines/>
      <w:spacing w:before="280" w:after="290" w:line="376" w:lineRule="auto"/>
      <w:outlineLvl w:val="3"/>
    </w:pPr>
    <w:rPr>
      <w:rFonts w:ascii="Arial" w:hAnsi="Arial" w:eastAsia="黑体"/>
      <w:b/>
      <w:bCs/>
      <w:sz w:val="28"/>
      <w:szCs w:val="28"/>
    </w:rPr>
  </w:style>
  <w:style w:type="paragraph" w:customStyle="1" w:styleId="20">
    <w:name w:val="标题 51"/>
    <w:basedOn w:val="1"/>
    <w:qFormat/>
    <w:uiPriority w:val="0"/>
    <w:pPr>
      <w:keepNext/>
      <w:outlineLvl w:val="4"/>
    </w:pPr>
    <w:rPr>
      <w:rFonts w:ascii="宋体" w:hAnsi="宋体"/>
      <w:b/>
      <w:bCs/>
    </w:rPr>
  </w:style>
  <w:style w:type="character" w:customStyle="1" w:styleId="21">
    <w:name w:val="默认段落字体1"/>
    <w:link w:val="1"/>
    <w:semiHidden/>
    <w:qFormat/>
    <w:uiPriority w:val="0"/>
  </w:style>
  <w:style w:type="table" w:customStyle="1" w:styleId="22">
    <w:name w:val="普通表格1"/>
    <w:semiHidden/>
    <w:qFormat/>
    <w:uiPriority w:val="0"/>
  </w:style>
  <w:style w:type="character" w:customStyle="1" w:styleId="23">
    <w:name w:val="标题 1 字符"/>
    <w:link w:val="16"/>
    <w:qFormat/>
    <w:uiPriority w:val="0"/>
    <w:rPr>
      <w:rFonts w:ascii="楷体_GB2312" w:eastAsia="楷体_GB2312"/>
      <w:kern w:val="2"/>
      <w:sz w:val="28"/>
      <w:lang w:val="en-US" w:eastAsia="zh-CN" w:bidi="ar-SA"/>
    </w:rPr>
  </w:style>
  <w:style w:type="character" w:customStyle="1" w:styleId="24">
    <w:name w:val="标题 2 字符"/>
    <w:link w:val="17"/>
    <w:qFormat/>
    <w:uiPriority w:val="0"/>
    <w:rPr>
      <w:rFonts w:ascii="Arial" w:hAnsi="Arial" w:eastAsia="幼圆"/>
      <w:b/>
      <w:kern w:val="2"/>
      <w:sz w:val="44"/>
    </w:rPr>
  </w:style>
  <w:style w:type="paragraph" w:customStyle="1" w:styleId="25">
    <w:name w:val="正文缩进1"/>
    <w:basedOn w:val="1"/>
    <w:link w:val="26"/>
    <w:qFormat/>
    <w:uiPriority w:val="0"/>
    <w:pPr>
      <w:ind w:firstLine="420"/>
    </w:pPr>
    <w:rPr>
      <w:szCs w:val="20"/>
    </w:rPr>
  </w:style>
  <w:style w:type="character" w:customStyle="1" w:styleId="26">
    <w:name w:val="正文缩进 字符"/>
    <w:link w:val="25"/>
    <w:qFormat/>
    <w:uiPriority w:val="0"/>
    <w:rPr>
      <w:rFonts w:eastAsia="宋体"/>
      <w:kern w:val="2"/>
      <w:sz w:val="21"/>
      <w:lang w:val="en-US" w:eastAsia="zh-CN" w:bidi="ar-SA"/>
    </w:rPr>
  </w:style>
  <w:style w:type="character" w:customStyle="1" w:styleId="27">
    <w:name w:val="标题 3 字符"/>
    <w:link w:val="18"/>
    <w:qFormat/>
    <w:uiPriority w:val="0"/>
    <w:rPr>
      <w:b/>
      <w:kern w:val="2"/>
      <w:sz w:val="32"/>
    </w:rPr>
  </w:style>
  <w:style w:type="paragraph" w:customStyle="1" w:styleId="28">
    <w:name w:val="文档结构图1"/>
    <w:basedOn w:val="1"/>
    <w:semiHidden/>
    <w:qFormat/>
    <w:uiPriority w:val="0"/>
    <w:pPr>
      <w:shd w:val="clear" w:color="auto" w:fill="000080"/>
    </w:pPr>
  </w:style>
  <w:style w:type="paragraph" w:customStyle="1" w:styleId="29">
    <w:name w:val="批注文字1"/>
    <w:basedOn w:val="1"/>
    <w:link w:val="30"/>
    <w:qFormat/>
    <w:uiPriority w:val="0"/>
    <w:pPr>
      <w:jc w:val="left"/>
    </w:pPr>
  </w:style>
  <w:style w:type="character" w:customStyle="1" w:styleId="30">
    <w:name w:val="批注文字 字符"/>
    <w:link w:val="29"/>
    <w:qFormat/>
    <w:uiPriority w:val="0"/>
    <w:rPr>
      <w:kern w:val="2"/>
      <w:sz w:val="21"/>
      <w:szCs w:val="24"/>
    </w:rPr>
  </w:style>
  <w:style w:type="paragraph" w:customStyle="1" w:styleId="31">
    <w:name w:val="正文文本 31"/>
    <w:basedOn w:val="1"/>
    <w:qFormat/>
    <w:uiPriority w:val="0"/>
    <w:rPr>
      <w:rFonts w:ascii="仿宋_GB2312" w:hAnsi="Arial" w:eastAsia="仿宋_GB2312"/>
      <w:sz w:val="32"/>
      <w:szCs w:val="20"/>
    </w:rPr>
  </w:style>
  <w:style w:type="paragraph" w:customStyle="1" w:styleId="32">
    <w:name w:val="正文文本1"/>
    <w:basedOn w:val="1"/>
    <w:qFormat/>
    <w:uiPriority w:val="0"/>
    <w:rPr>
      <w:rFonts w:ascii="楷体_GB2312" w:hAnsi="Arial" w:eastAsia="楷体_GB2312"/>
      <w:sz w:val="28"/>
      <w:szCs w:val="20"/>
    </w:rPr>
  </w:style>
  <w:style w:type="paragraph" w:customStyle="1" w:styleId="33">
    <w:name w:val="正文文本缩进1"/>
    <w:basedOn w:val="1"/>
    <w:qFormat/>
    <w:uiPriority w:val="0"/>
    <w:pPr>
      <w:ind w:firstLine="645"/>
    </w:pPr>
    <w:rPr>
      <w:rFonts w:ascii="楷体_GB2312" w:eastAsia="楷体_GB2312"/>
      <w:sz w:val="32"/>
      <w:szCs w:val="20"/>
    </w:rPr>
  </w:style>
  <w:style w:type="paragraph" w:customStyle="1" w:styleId="34">
    <w:name w:val="寄信人地址1"/>
    <w:basedOn w:val="1"/>
    <w:qFormat/>
    <w:uiPriority w:val="0"/>
    <w:pPr>
      <w:snapToGrid w:val="0"/>
    </w:pPr>
    <w:rPr>
      <w:rFonts w:ascii="Arial" w:hAnsi="Arial"/>
    </w:rPr>
  </w:style>
  <w:style w:type="paragraph" w:customStyle="1" w:styleId="35">
    <w:name w:val="纯文本1"/>
    <w:basedOn w:val="1"/>
    <w:link w:val="36"/>
    <w:qFormat/>
    <w:uiPriority w:val="0"/>
    <w:rPr>
      <w:rFonts w:ascii="宋体" w:hAnsi="Courier New"/>
      <w:szCs w:val="20"/>
    </w:rPr>
  </w:style>
  <w:style w:type="character" w:customStyle="1" w:styleId="36">
    <w:name w:val="纯文本 字符"/>
    <w:link w:val="35"/>
    <w:qFormat/>
    <w:uiPriority w:val="0"/>
    <w:rPr>
      <w:rFonts w:ascii="宋体" w:hAnsi="Courier New"/>
      <w:kern w:val="2"/>
      <w:sz w:val="21"/>
    </w:rPr>
  </w:style>
  <w:style w:type="paragraph" w:customStyle="1" w:styleId="37">
    <w:name w:val="日期1"/>
    <w:basedOn w:val="1"/>
    <w:qFormat/>
    <w:uiPriority w:val="0"/>
    <w:rPr>
      <w:sz w:val="24"/>
      <w:szCs w:val="20"/>
    </w:rPr>
  </w:style>
  <w:style w:type="paragraph" w:customStyle="1" w:styleId="38">
    <w:name w:val="正文文本缩进 21"/>
    <w:basedOn w:val="1"/>
    <w:qFormat/>
    <w:uiPriority w:val="0"/>
    <w:pPr>
      <w:ind w:firstLine="560" w:firstLineChars="200"/>
    </w:pPr>
    <w:rPr>
      <w:rFonts w:ascii="宋体" w:hAnsi="宋体"/>
      <w:sz w:val="28"/>
    </w:rPr>
  </w:style>
  <w:style w:type="paragraph" w:customStyle="1" w:styleId="39">
    <w:name w:val="批注框文本1"/>
    <w:basedOn w:val="1"/>
    <w:link w:val="40"/>
    <w:semiHidden/>
    <w:qFormat/>
    <w:uiPriority w:val="0"/>
    <w:rPr>
      <w:sz w:val="18"/>
      <w:szCs w:val="18"/>
    </w:rPr>
  </w:style>
  <w:style w:type="character" w:customStyle="1" w:styleId="40">
    <w:name w:val="批注框文本 字符"/>
    <w:link w:val="39"/>
    <w:semiHidden/>
    <w:qFormat/>
    <w:uiPriority w:val="0"/>
    <w:rPr>
      <w:kern w:val="2"/>
      <w:sz w:val="18"/>
      <w:szCs w:val="18"/>
    </w:rPr>
  </w:style>
  <w:style w:type="paragraph" w:customStyle="1" w:styleId="41">
    <w:name w:val="页脚1"/>
    <w:basedOn w:val="1"/>
    <w:link w:val="42"/>
    <w:qFormat/>
    <w:uiPriority w:val="0"/>
    <w:pPr>
      <w:tabs>
        <w:tab w:val="center" w:pos="4153"/>
        <w:tab w:val="right" w:pos="8306"/>
      </w:tabs>
      <w:snapToGrid w:val="0"/>
      <w:jc w:val="left"/>
    </w:pPr>
    <w:rPr>
      <w:sz w:val="18"/>
      <w:szCs w:val="20"/>
    </w:rPr>
  </w:style>
  <w:style w:type="character" w:customStyle="1" w:styleId="42">
    <w:name w:val="页脚 字符"/>
    <w:link w:val="41"/>
    <w:qFormat/>
    <w:uiPriority w:val="0"/>
    <w:rPr>
      <w:kern w:val="2"/>
      <w:sz w:val="18"/>
    </w:rPr>
  </w:style>
  <w:style w:type="paragraph" w:customStyle="1" w:styleId="43">
    <w:name w:val="页眉1"/>
    <w:basedOn w:val="1"/>
    <w:link w:val="44"/>
    <w:qFormat/>
    <w:uiPriority w:val="0"/>
    <w:pPr>
      <w:pBdr>
        <w:bottom w:val="single" w:color="000000" w:sz="6" w:space="1"/>
      </w:pBdr>
      <w:tabs>
        <w:tab w:val="center" w:pos="4153"/>
        <w:tab w:val="right" w:pos="8306"/>
      </w:tabs>
      <w:snapToGrid w:val="0"/>
      <w:jc w:val="center"/>
    </w:pPr>
    <w:rPr>
      <w:sz w:val="18"/>
      <w:szCs w:val="18"/>
    </w:rPr>
  </w:style>
  <w:style w:type="character" w:customStyle="1" w:styleId="44">
    <w:name w:val="页眉 字符"/>
    <w:link w:val="43"/>
    <w:qFormat/>
    <w:uiPriority w:val="0"/>
    <w:rPr>
      <w:kern w:val="2"/>
      <w:sz w:val="18"/>
      <w:szCs w:val="18"/>
    </w:rPr>
  </w:style>
  <w:style w:type="paragraph" w:customStyle="1" w:styleId="45">
    <w:name w:val="正文文本缩进 31"/>
    <w:basedOn w:val="1"/>
    <w:qFormat/>
    <w:uiPriority w:val="0"/>
    <w:pPr>
      <w:ind w:firstLine="523"/>
    </w:pPr>
    <w:rPr>
      <w:rFonts w:ascii="仿宋_GB2312" w:hAnsi="宋体" w:eastAsia="仿宋_GB2312"/>
      <w:sz w:val="24"/>
    </w:rPr>
  </w:style>
  <w:style w:type="paragraph" w:customStyle="1" w:styleId="46">
    <w:name w:val="正文文本 21"/>
    <w:basedOn w:val="1"/>
    <w:qFormat/>
    <w:uiPriority w:val="0"/>
    <w:pPr>
      <w:jc w:val="center"/>
    </w:pPr>
    <w:rPr>
      <w:rFonts w:ascii="仿宋_GB2312" w:eastAsia="仿宋_GB2312"/>
      <w:sz w:val="44"/>
    </w:rPr>
  </w:style>
  <w:style w:type="paragraph" w:customStyle="1" w:styleId="47">
    <w:name w:val="HTML 预设格式1"/>
    <w:basedOn w:val="1"/>
    <w:link w:val="4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48">
    <w:name w:val="HTML 预设格式 字符"/>
    <w:link w:val="47"/>
    <w:qFormat/>
    <w:uiPriority w:val="0"/>
    <w:rPr>
      <w:rFonts w:ascii="黑体" w:hAnsi="Courier New" w:eastAsia="黑体"/>
    </w:rPr>
  </w:style>
  <w:style w:type="paragraph" w:customStyle="1" w:styleId="49">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50">
    <w:name w:val="索引 11"/>
    <w:basedOn w:val="1"/>
    <w:semiHidden/>
    <w:qFormat/>
    <w:uiPriority w:val="0"/>
    <w:rPr>
      <w:rFonts w:ascii="宋体" w:hAnsi="宋体"/>
      <w:szCs w:val="18"/>
    </w:rPr>
  </w:style>
  <w:style w:type="paragraph" w:customStyle="1" w:styleId="51">
    <w:name w:val="批注主题1"/>
    <w:basedOn w:val="29"/>
    <w:link w:val="52"/>
    <w:qFormat/>
    <w:uiPriority w:val="0"/>
    <w:rPr>
      <w:b/>
      <w:bCs/>
    </w:rPr>
  </w:style>
  <w:style w:type="character" w:customStyle="1" w:styleId="52">
    <w:name w:val="批注主题 字符"/>
    <w:link w:val="51"/>
    <w:qFormat/>
    <w:uiPriority w:val="0"/>
    <w:rPr>
      <w:b/>
      <w:bCs/>
      <w:kern w:val="2"/>
      <w:sz w:val="21"/>
      <w:szCs w:val="24"/>
    </w:rPr>
  </w:style>
  <w:style w:type="paragraph" w:customStyle="1" w:styleId="53">
    <w:name w:val="正文文本首行缩进 2"/>
    <w:basedOn w:val="33"/>
    <w:qFormat/>
    <w:uiPriority w:val="0"/>
    <w:pPr>
      <w:ind w:left="420" w:firstLine="420" w:firstLineChars="200"/>
    </w:pPr>
  </w:style>
  <w:style w:type="table" w:customStyle="1" w:styleId="54">
    <w:name w:val="网格型11"/>
    <w:basedOn w:val="22"/>
    <w:qFormat/>
    <w:uiPriority w:val="0"/>
    <w:pPr>
      <w:widowControl w:val="0"/>
      <w:jc w:val="both"/>
    </w:pPr>
  </w:style>
  <w:style w:type="character" w:customStyle="1" w:styleId="55">
    <w:name w:val="要点1"/>
    <w:link w:val="1"/>
    <w:qFormat/>
    <w:uiPriority w:val="0"/>
    <w:rPr>
      <w:b/>
      <w:bCs/>
    </w:rPr>
  </w:style>
  <w:style w:type="character" w:customStyle="1" w:styleId="56">
    <w:name w:val="页码1"/>
    <w:link w:val="1"/>
    <w:qFormat/>
    <w:uiPriority w:val="0"/>
  </w:style>
  <w:style w:type="character" w:customStyle="1" w:styleId="57">
    <w:name w:val="访问过的超链接"/>
    <w:link w:val="1"/>
    <w:qFormat/>
    <w:uiPriority w:val="0"/>
    <w:rPr>
      <w:color w:val="800080"/>
      <w:u w:val="single"/>
    </w:rPr>
  </w:style>
  <w:style w:type="character" w:customStyle="1" w:styleId="58">
    <w:name w:val="超链接1"/>
    <w:link w:val="1"/>
    <w:qFormat/>
    <w:uiPriority w:val="0"/>
    <w:rPr>
      <w:color w:val="0000FF"/>
      <w:u w:val="single"/>
    </w:rPr>
  </w:style>
  <w:style w:type="character" w:customStyle="1" w:styleId="59">
    <w:name w:val="批注引用1"/>
    <w:link w:val="1"/>
    <w:qFormat/>
    <w:uiPriority w:val="0"/>
    <w:rPr>
      <w:sz w:val="21"/>
      <w:szCs w:val="21"/>
    </w:rPr>
  </w:style>
  <w:style w:type="character" w:customStyle="1" w:styleId="60">
    <w:name w:val="标题2 Char"/>
    <w:link w:val="1"/>
    <w:qFormat/>
    <w:uiPriority w:val="0"/>
    <w:rPr>
      <w:rFonts w:ascii="方正楷体_GBK" w:hAnsi="Book Antiqua" w:eastAsia="方正楷体_GBK"/>
      <w:sz w:val="32"/>
      <w:lang w:val="en-US" w:eastAsia="zh-CN" w:bidi="ar-SA"/>
    </w:rPr>
  </w:style>
  <w:style w:type="character" w:customStyle="1" w:styleId="61">
    <w:name w:val="纯文本 Char1"/>
    <w:link w:val="1"/>
    <w:qFormat/>
    <w:uiPriority w:val="0"/>
    <w:rPr>
      <w:rFonts w:ascii="宋体" w:hAnsi="Courier New" w:eastAsia="宋体"/>
      <w:kern w:val="2"/>
      <w:sz w:val="21"/>
      <w:lang w:val="en-US" w:eastAsia="zh-CN" w:bidi="ar-SA"/>
    </w:rPr>
  </w:style>
  <w:style w:type="character" w:customStyle="1" w:styleId="62">
    <w:name w:val="列出段落 Char"/>
    <w:link w:val="63"/>
    <w:qFormat/>
    <w:uiPriority w:val="0"/>
    <w:rPr>
      <w:rFonts w:ascii="Calibri" w:hAnsi="Calibri"/>
      <w:sz w:val="24"/>
      <w:szCs w:val="24"/>
      <w:lang w:eastAsia="en-US" w:bidi="en-US"/>
    </w:rPr>
  </w:style>
  <w:style w:type="paragraph" w:customStyle="1" w:styleId="63">
    <w:name w:val="列出段落1"/>
    <w:basedOn w:val="1"/>
    <w:link w:val="62"/>
    <w:qFormat/>
    <w:uiPriority w:val="0"/>
    <w:pPr>
      <w:widowControl/>
      <w:ind w:left="720"/>
      <w:contextualSpacing/>
      <w:jc w:val="left"/>
    </w:pPr>
    <w:rPr>
      <w:rFonts w:ascii="Calibri" w:hAnsi="Calibri"/>
      <w:kern w:val="0"/>
      <w:sz w:val="24"/>
      <w:lang w:eastAsia="en-US" w:bidi="en-US"/>
    </w:rPr>
  </w:style>
  <w:style w:type="character" w:customStyle="1" w:styleId="64">
    <w:name w:val="jj1"/>
    <w:link w:val="1"/>
    <w:qFormat/>
    <w:uiPriority w:val="0"/>
    <w:rPr>
      <w:sz w:val="20"/>
      <w:szCs w:val="20"/>
      <w:u w:val="none"/>
    </w:rPr>
  </w:style>
  <w:style w:type="paragraph" w:customStyle="1" w:styleId="65">
    <w:name w:val=" Char Char Char Char1 Char Char"/>
    <w:basedOn w:val="1"/>
    <w:qFormat/>
    <w:uiPriority w:val="0"/>
    <w:pPr>
      <w:tabs>
        <w:tab w:val="left" w:pos="360"/>
      </w:tabs>
    </w:pPr>
    <w:rPr>
      <w:sz w:val="24"/>
    </w:rPr>
  </w:style>
  <w:style w:type="paragraph" w:customStyle="1" w:styleId="66">
    <w:name w:val="正文 1.1.1"/>
    <w:basedOn w:val="1"/>
    <w:qFormat/>
    <w:uiPriority w:val="0"/>
    <w:pPr>
      <w:numPr>
        <w:ilvl w:val="2"/>
        <w:numId w:val="1"/>
      </w:numPr>
      <w:tabs>
        <w:tab w:val="clear" w:pos="851"/>
      </w:tabs>
      <w:spacing w:line="360" w:lineRule="auto"/>
      <w:outlineLvl w:val="2"/>
    </w:pPr>
    <w:rPr>
      <w:rFonts w:ascii="宋体" w:hAnsi="宋体"/>
      <w:color w:val="000000"/>
      <w:kern w:val="0"/>
      <w:sz w:val="28"/>
      <w:szCs w:val="21"/>
    </w:rPr>
  </w:style>
  <w:style w:type="paragraph" w:customStyle="1" w:styleId="67">
    <w:name w:val="正文 第一章"/>
    <w:basedOn w:val="1"/>
    <w:qFormat/>
    <w:uiPriority w:val="0"/>
    <w:pPr>
      <w:pageBreakBefore/>
      <w:numPr>
        <w:ilvl w:val="0"/>
        <w:numId w:val="1"/>
      </w:numPr>
      <w:spacing w:before="240" w:after="240" w:line="480" w:lineRule="auto"/>
      <w:jc w:val="center"/>
      <w:outlineLvl w:val="0"/>
    </w:pPr>
    <w:rPr>
      <w:rFonts w:ascii="黑体" w:hAnsi="宋体" w:eastAsia="黑体"/>
      <w:kern w:val="0"/>
      <w:sz w:val="36"/>
      <w:szCs w:val="21"/>
    </w:rPr>
  </w:style>
  <w:style w:type="paragraph" w:customStyle="1" w:styleId="68">
    <w:name w:val="正文 1.1"/>
    <w:basedOn w:val="1"/>
    <w:qFormat/>
    <w:uiPriority w:val="0"/>
    <w:pPr>
      <w:numPr>
        <w:ilvl w:val="1"/>
        <w:numId w:val="1"/>
      </w:numPr>
      <w:tabs>
        <w:tab w:val="clear" w:pos="851"/>
      </w:tabs>
      <w:spacing w:line="360" w:lineRule="auto"/>
      <w:ind w:left="980" w:hanging="980" w:hangingChars="350"/>
      <w:outlineLvl w:val="1"/>
    </w:pPr>
    <w:rPr>
      <w:rFonts w:ascii="仿宋" w:hAnsi="仿宋" w:eastAsia="仿宋"/>
      <w:b/>
      <w:kern w:val="0"/>
      <w:sz w:val="28"/>
      <w:szCs w:val="21"/>
    </w:rPr>
  </w:style>
  <w:style w:type="paragraph" w:customStyle="1" w:styleId="69">
    <w:name w:val="Char Char Char Char"/>
    <w:basedOn w:val="28"/>
    <w:qFormat/>
    <w:uiPriority w:val="0"/>
    <w:pPr>
      <w:snapToGrid w:val="0"/>
      <w:spacing w:line="360" w:lineRule="auto"/>
    </w:pPr>
    <w:rPr>
      <w:rFonts w:ascii="Tahoma" w:hAnsi="Tahoma"/>
      <w:sz w:val="24"/>
    </w:rPr>
  </w:style>
  <w:style w:type="paragraph" w:customStyle="1" w:styleId="70">
    <w:name w:val="默认段落字体 Para Char Char Char Char Char Char Char Char Char1 Char Char Char Char Char Char Char"/>
    <w:basedOn w:val="28"/>
    <w:qFormat/>
    <w:uiPriority w:val="0"/>
    <w:rPr>
      <w:rFonts w:ascii="Tahoma" w:hAnsi="Tahoma"/>
      <w:sz w:val="24"/>
    </w:rPr>
  </w:style>
  <w:style w:type="paragraph" w:customStyle="1" w:styleId="71">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72">
    <w:name w:val="标题3"/>
    <w:basedOn w:val="1"/>
    <w:qFormat/>
    <w:uiPriority w:val="0"/>
    <w:rPr>
      <w:rFonts w:eastAsia="方正黑体_GBK"/>
    </w:rPr>
  </w:style>
  <w:style w:type="paragraph" w:customStyle="1" w:styleId="73">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74">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
    <w:name w:val="标题1"/>
    <w:basedOn w:val="1"/>
    <w:qFormat/>
    <w:uiPriority w:val="0"/>
    <w:pPr>
      <w:tabs>
        <w:tab w:val="left" w:pos="9193"/>
        <w:tab w:val="left" w:pos="9827"/>
      </w:tabs>
      <w:spacing w:line="700" w:lineRule="atLeast"/>
      <w:jc w:val="center"/>
    </w:pPr>
    <w:rPr>
      <w:rFonts w:eastAsia="方正小标宋_GBK"/>
      <w:sz w:val="44"/>
    </w:rPr>
  </w:style>
  <w:style w:type="paragraph" w:customStyle="1" w:styleId="76">
    <w:name w:val="普通正文"/>
    <w:basedOn w:val="1"/>
    <w:qFormat/>
    <w:uiPriority w:val="0"/>
    <w:pPr>
      <w:spacing w:before="120" w:after="120" w:line="360" w:lineRule="auto"/>
      <w:ind w:firstLine="480"/>
      <w:jc w:val="left"/>
    </w:pPr>
    <w:rPr>
      <w:rFonts w:ascii="Arial" w:hAnsi="Arial"/>
      <w:kern w:val="0"/>
      <w:sz w:val="24"/>
    </w:rPr>
  </w:style>
  <w:style w:type="paragraph" w:customStyle="1" w:styleId="77">
    <w:name w:val="Table Text"/>
    <w:qFormat/>
    <w:uiPriority w:val="0"/>
    <w:pPr>
      <w:snapToGrid w:val="0"/>
      <w:spacing w:before="143" w:after="80"/>
      <w:jc w:val="center"/>
    </w:pPr>
    <w:rPr>
      <w:rFonts w:ascii="仿宋_GB2312" w:hAnsi="宋体" w:eastAsia="仿宋_GB2312" w:cs="Times New Roman"/>
      <w:sz w:val="24"/>
      <w:lang w:val="en-US" w:eastAsia="zh-CN" w:bidi="ar-SA"/>
    </w:rPr>
  </w:style>
  <w:style w:type="paragraph" w:customStyle="1" w:styleId="78">
    <w:name w:val="第四级"/>
    <w:basedOn w:val="1"/>
    <w:qFormat/>
    <w:uiPriority w:val="0"/>
    <w:pPr>
      <w:numPr>
        <w:ilvl w:val="3"/>
        <w:numId w:val="1"/>
      </w:numPr>
      <w:tabs>
        <w:tab w:val="clear" w:pos="1134"/>
      </w:tabs>
      <w:spacing w:line="360" w:lineRule="auto"/>
    </w:pPr>
    <w:rPr>
      <w:rFonts w:ascii="宋体" w:hAnsi="宋体" w:eastAsia="仿宋"/>
      <w:kern w:val="0"/>
      <w:sz w:val="28"/>
      <w:szCs w:val="21"/>
    </w:rPr>
  </w:style>
  <w:style w:type="paragraph" w:customStyle="1" w:styleId="79">
    <w:name w:val="Char"/>
    <w:basedOn w:val="1"/>
    <w:qFormat/>
    <w:uiPriority w:val="0"/>
    <w:pPr>
      <w:tabs>
        <w:tab w:val="left" w:pos="360"/>
      </w:tabs>
    </w:pPr>
    <w:rPr>
      <w:sz w:val="24"/>
    </w:rPr>
  </w:style>
  <w:style w:type="paragraph" w:customStyle="1" w:styleId="80">
    <w:name w:val=" Char"/>
    <w:basedOn w:val="1"/>
    <w:qFormat/>
    <w:uiPriority w:val="0"/>
    <w:rPr>
      <w:rFonts w:ascii="Tahoma" w:hAnsi="Tahoma"/>
      <w:sz w:val="24"/>
      <w:szCs w:val="20"/>
    </w:rPr>
  </w:style>
  <w:style w:type="paragraph" w:customStyle="1" w:styleId="81">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2">
    <w:name w:val="正文空2格  1."/>
    <w:basedOn w:val="1"/>
    <w:qFormat/>
    <w:uiPriority w:val="0"/>
    <w:pPr>
      <w:spacing w:line="360" w:lineRule="auto"/>
      <w:ind w:firstLine="480" w:firstLineChars="200"/>
    </w:pPr>
    <w:rPr>
      <w:rFonts w:ascii="宋体" w:eastAsia="仿宋"/>
      <w:kern w:val="0"/>
      <w:sz w:val="28"/>
      <w:szCs w:val="20"/>
    </w:rPr>
  </w:style>
  <w:style w:type="paragraph" w:customStyle="1" w:styleId="83">
    <w:name w:val="Coms Alinea"/>
    <w:qFormat/>
    <w:uiPriority w:val="0"/>
    <w:pPr>
      <w:widowControl w:val="0"/>
    </w:pPr>
    <w:rPr>
      <w:rFonts w:ascii="Arial" w:hAnsi="Arial" w:eastAsia="宋体" w:cs="Times New Roman"/>
      <w:lang w:val="en-US" w:eastAsia="zh-CN" w:bidi="ar-SA"/>
    </w:rPr>
  </w:style>
  <w:style w:type="paragraph" w:customStyle="1" w:styleId="84">
    <w:name w:val="标题2"/>
    <w:basedOn w:val="1"/>
    <w:qFormat/>
    <w:uiPriority w:val="0"/>
    <w:pPr>
      <w:jc w:val="center"/>
    </w:pPr>
    <w:rPr>
      <w:rFonts w:eastAsia="方正楷体_GBK"/>
    </w:rPr>
  </w:style>
  <w:style w:type="paragraph" w:customStyle="1" w:styleId="85">
    <w:name w:val="列表段落"/>
    <w:basedOn w:val="1"/>
    <w:qFormat/>
    <w:uiPriority w:val="0"/>
    <w:pPr>
      <w:ind w:firstLine="420" w:firstLineChars="200"/>
    </w:pPr>
    <w:rPr>
      <w:rFonts w:ascii="Calibri" w:hAnsi="Calibri"/>
      <w:szCs w:val="22"/>
    </w:rPr>
  </w:style>
  <w:style w:type="paragraph" w:customStyle="1" w:styleId="86">
    <w:name w:val="BioQuote Tekst"/>
    <w:basedOn w:val="1"/>
    <w:qFormat/>
    <w:uiPriority w:val="0"/>
    <w:pPr>
      <w:ind w:right="-1"/>
    </w:pPr>
    <w:rPr>
      <w:rFonts w:ascii="Arial" w:hAnsi="Arial"/>
      <w:kern w:val="0"/>
      <w:sz w:val="22"/>
      <w:szCs w:val="20"/>
      <w:lang w:eastAsia="en-US"/>
    </w:rPr>
  </w:style>
  <w:style w:type="paragraph" w:customStyle="1" w:styleId="87">
    <w:name w:val="Char Char Char Char1 Char Char Char"/>
    <w:basedOn w:val="28"/>
    <w:uiPriority w:val="0"/>
    <w:pPr>
      <w:snapToGrid w:val="0"/>
      <w:spacing w:line="360" w:lineRule="auto"/>
    </w:pPr>
    <w:rPr>
      <w:rFonts w:ascii="Tahoma" w:hAnsi="Tahoma"/>
      <w:sz w:val="24"/>
    </w:rPr>
  </w:style>
  <w:style w:type="table" w:customStyle="1" w:styleId="88">
    <w:name w:val="网格型1"/>
    <w:basedOn w:val="22"/>
    <w:qFormat/>
    <w:uiPriority w:val="0"/>
    <w:rPr>
      <w:rFonts w:ascii="Calibri" w:hAnsi="Calibri" w:eastAsia="宋体"/>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2887</Words>
  <Characters>3183</Characters>
  <Lines>0</Lines>
  <Paragraphs>0</Paragraphs>
  <TotalTime>6</TotalTime>
  <ScaleCrop>false</ScaleCrop>
  <LinksUpToDate>false</LinksUpToDate>
  <CharactersWithSpaces>3185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2024-05-22T14:38:00Z</dcterms:created>
  <dc:creator>赵兴宇</dc:creator>
  <cp:lastModifiedBy>Administrator</cp:lastModifiedBy>
  <dcterms:modified xsi:type="dcterms:W3CDTF">2024-05-30T07:48:41Z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31016900B8EE44FFB6B7CA8D6C07CC96_13</vt:lpwstr>
  </property>
</Properties>
</file>